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33F10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B2A78BD">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A1676C0">
            <w:pPr>
              <w:pStyle w:val="18"/>
              <w:framePr w:wrap="notBeside" w:vAnchor="page" w:hAnchor="page" w:x="1372" w:y="568"/>
              <w:tabs>
                <w:tab w:val="clear" w:pos="4153"/>
                <w:tab w:val="clear" w:pos="8306"/>
              </w:tabs>
              <w:spacing w:line="240" w:lineRule="auto"/>
              <w:jc w:val="both"/>
              <w:rPr>
                <w:rFonts w:ascii="黑体" w:hAnsi="黑体" w:eastAsia="黑体"/>
                <w:sz w:val="21"/>
                <w:szCs w:val="21"/>
              </w:rPr>
            </w:pPr>
            <w:bookmarkStart w:id="51" w:name="_GoBack"/>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w:t>
            </w:r>
            <w:r>
              <w:rPr>
                <w:rFonts w:hint="eastAsia" w:ascii="黑体" w:hAnsi="黑体" w:eastAsia="黑体"/>
                <w:sz w:val="21"/>
                <w:szCs w:val="21"/>
                <w:lang w:val="en-US" w:eastAsia="zh-CN"/>
              </w:rPr>
              <w:t>7</w:t>
            </w:r>
            <w:r>
              <w:rPr>
                <w:rFonts w:ascii="黑体" w:hAnsi="黑体" w:eastAsia="黑体"/>
                <w:sz w:val="21"/>
                <w:szCs w:val="21"/>
              </w:rPr>
              <w:t>.0</w:t>
            </w:r>
            <w:r>
              <w:rPr>
                <w:rFonts w:hint="eastAsia" w:ascii="黑体" w:hAnsi="黑体" w:eastAsia="黑体"/>
                <w:sz w:val="21"/>
                <w:szCs w:val="21"/>
                <w:lang w:val="en-US" w:eastAsia="zh-CN"/>
              </w:rPr>
              <w:t>80</w:t>
            </w:r>
            <w:r>
              <w:rPr>
                <w:rFonts w:ascii="黑体" w:hAnsi="黑体" w:eastAsia="黑体"/>
                <w:sz w:val="21"/>
                <w:szCs w:val="21"/>
              </w:rPr>
              <w:fldChar w:fldCharType="end"/>
            </w:r>
            <w:bookmarkEnd w:id="0"/>
            <w:bookmarkEnd w:id="51"/>
          </w:p>
        </w:tc>
      </w:tr>
      <w:tr w14:paraId="38C4C2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0AFF173">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623E73A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1FCC43F1">
                  <w:pPr>
                    <w:pStyle w:val="49"/>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JCE</w:t>
                  </w:r>
                  <w:r>
                    <w:fldChar w:fldCharType="end"/>
                  </w:r>
                  <w:bookmarkEnd w:id="1"/>
                </w:p>
              </w:tc>
            </w:tr>
          </w:tbl>
          <w:p w14:paraId="3E3193A9">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hint="eastAsia" w:ascii="黑体" w:hAnsi="黑体" w:eastAsia="黑体"/>
                <w:sz w:val="21"/>
                <w:szCs w:val="21"/>
                <w:lang w:val="en-US" w:eastAsia="zh-CN"/>
              </w:rPr>
              <w:t>B31</w:t>
            </w:r>
            <w:r>
              <w:rPr>
                <w:rFonts w:ascii="黑体" w:hAnsi="黑体" w:eastAsia="黑体"/>
                <w:sz w:val="21"/>
                <w:szCs w:val="21"/>
              </w:rPr>
              <w:fldChar w:fldCharType="end"/>
            </w:r>
            <w:bookmarkEnd w:id="2"/>
          </w:p>
        </w:tc>
      </w:tr>
    </w:tbl>
    <w:p w14:paraId="2B74E3D8">
      <w:pPr>
        <w:pStyle w:val="50"/>
        <w:framePr w:w="9639" w:h="624" w:hRule="exact" w:hSpace="181" w:vSpace="181" w:wrap="around" w:hAnchor="page" w:x="1305" w:y="2269"/>
        <w:rPr>
          <w:rFonts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江西绿色生态品牌建设促进会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49E745AA">
      <w:pPr>
        <w:pStyle w:val="195"/>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JCE</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1E538A79">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962576A">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9A92FDE">
      <w:pPr>
        <w:pStyle w:val="50"/>
        <w:framePr w:w="9639" w:h="6976" w:hRule="exact" w:hSpace="0" w:vSpace="0" w:wrap="around" w:hAnchor="page" w:y="6408"/>
        <w:jc w:val="center"/>
        <w:rPr>
          <w:rFonts w:ascii="黑体" w:hAnsi="黑体" w:eastAsia="黑体"/>
          <w:b w:val="0"/>
          <w:bCs w:val="0"/>
          <w:w w:val="100"/>
        </w:rPr>
      </w:pPr>
    </w:p>
    <w:p w14:paraId="6311CE96">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 xml:space="preserve">江西绿色生态 </w:t>
      </w:r>
      <w:r>
        <w:rPr>
          <w:rFonts w:hint="eastAsia"/>
          <w:lang w:eastAsia="zh-CN"/>
        </w:rPr>
        <w:t>会昌桔柚</w:t>
      </w:r>
      <w:r>
        <w:fldChar w:fldCharType="end"/>
      </w:r>
      <w:bookmarkEnd w:id="9"/>
    </w:p>
    <w:p w14:paraId="022792E6">
      <w:pPr>
        <w:framePr w:w="9639" w:h="6974" w:hRule="exact" w:wrap="around" w:vAnchor="page" w:hAnchor="page" w:x="1419" w:y="6408" w:anchorLock="1"/>
        <w:ind w:left="-1418"/>
      </w:pPr>
    </w:p>
    <w:p w14:paraId="50DB39E6">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xml:space="preserve">Jiangxi Green Ecology -- </w:t>
      </w:r>
      <w:r>
        <w:rPr>
          <w:rFonts w:hint="eastAsia" w:eastAsia="黑体"/>
          <w:szCs w:val="28"/>
          <w:lang w:val="en-US" w:eastAsia="zh-CN"/>
        </w:rPr>
        <w:t xml:space="preserve">Huichang </w:t>
      </w:r>
      <w:r>
        <w:rPr>
          <w:rFonts w:hint="eastAsia" w:eastAsia="黑体"/>
          <w:szCs w:val="28"/>
        </w:rPr>
        <w:t xml:space="preserve">Orange </w:t>
      </w:r>
      <w:r>
        <w:rPr>
          <w:rFonts w:hint="eastAsia" w:eastAsia="黑体"/>
          <w:szCs w:val="28"/>
          <w:lang w:val="en-US" w:eastAsia="zh-CN"/>
        </w:rPr>
        <w:t>grapefruit</w:t>
      </w:r>
      <w:r>
        <w:rPr>
          <w:rFonts w:eastAsia="黑体"/>
          <w:szCs w:val="28"/>
        </w:rPr>
        <w:t xml:space="preserve"> </w:t>
      </w:r>
      <w:r>
        <w:rPr>
          <w:rFonts w:eastAsia="黑体"/>
          <w:szCs w:val="28"/>
        </w:rPr>
        <w:fldChar w:fldCharType="end"/>
      </w:r>
      <w:bookmarkEnd w:id="10"/>
    </w:p>
    <w:p w14:paraId="3E24124D">
      <w:pPr>
        <w:framePr w:w="9639" w:h="6974" w:hRule="exact" w:wrap="around" w:vAnchor="page" w:hAnchor="page" w:x="1419" w:y="6408" w:anchorLock="1"/>
        <w:spacing w:line="760" w:lineRule="exact"/>
        <w:ind w:left="-1418"/>
      </w:pPr>
    </w:p>
    <w:p w14:paraId="4BB72177">
      <w:pPr>
        <w:pStyle w:val="125"/>
        <w:framePr w:w="9639" w:h="6974" w:hRule="exact" w:wrap="around" w:vAnchor="page" w:hAnchor="page" w:x="1419" w:y="6408" w:anchorLock="1"/>
        <w:textAlignment w:val="bottom"/>
        <w:rPr>
          <w:rFonts w:eastAsia="黑体"/>
          <w:szCs w:val="28"/>
        </w:rPr>
      </w:pPr>
    </w:p>
    <w:p w14:paraId="1710877C">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2DE3A6D4">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35717951">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69B12328">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2E71CB16">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4F93B949">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江西绿色生态品牌建设促进会</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6CE9BAE">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7079E51">
      <w:pPr>
        <w:pStyle w:val="91"/>
        <w:spacing w:after="360"/>
      </w:pPr>
      <w:bookmarkStart w:id="21" w:name="BookMark1"/>
      <w:r>
        <w:rPr>
          <w:rFonts w:hint="eastAsia"/>
          <w:spacing w:val="320"/>
        </w:rPr>
        <w:t>目</w:t>
      </w:r>
      <w:r>
        <w:rPr>
          <w:rFonts w:hint="eastAsia"/>
        </w:rPr>
        <w:t>次</w:t>
      </w:r>
    </w:p>
    <w:p w14:paraId="4FCD75B0">
      <w:pPr>
        <w:pStyle w:val="19"/>
        <w:tabs>
          <w:tab w:val="right" w:leader="dot" w:pos="9344"/>
        </w:tabs>
        <w:rPr>
          <w:rFonts w:hint="eastAsia" w:ascii="宋体" w:hAnsi="宋体" w:eastAsia="宋体" w:cs="宋体"/>
          <w:szCs w:val="22"/>
        </w:rPr>
      </w:pPr>
      <w:r>
        <w:fldChar w:fldCharType="begin"/>
      </w:r>
      <w:r>
        <w:instrText xml:space="preserve"> TOC \o "1-1" \h </w:instrText>
      </w:r>
      <w:r>
        <w:fldChar w:fldCharType="separate"/>
      </w:r>
      <w:r>
        <w:fldChar w:fldCharType="begin"/>
      </w:r>
      <w:r>
        <w:instrText xml:space="preserve"> HYPERLINK \l "_Toc130497265" </w:instrText>
      </w:r>
      <w:r>
        <w:fldChar w:fldCharType="separate"/>
      </w:r>
      <w:r>
        <w:rPr>
          <w:rStyle w:val="32"/>
          <w:rFonts w:hint="eastAsia"/>
        </w:rPr>
        <w:t>前言</w:t>
      </w:r>
      <w:r>
        <w:tab/>
      </w:r>
      <w:r>
        <w:rPr>
          <w:rFonts w:hint="eastAsia" w:ascii="宋体" w:hAnsi="宋体" w:eastAsia="宋体" w:cs="宋体"/>
        </w:rPr>
        <w:t>Ⅱ</w:t>
      </w:r>
      <w:r>
        <w:fldChar w:fldCharType="end"/>
      </w:r>
    </w:p>
    <w:p w14:paraId="52876D10">
      <w:pPr>
        <w:pStyle w:val="19"/>
        <w:tabs>
          <w:tab w:val="right" w:leader="dot" w:pos="9344"/>
        </w:tabs>
        <w:rPr>
          <w:rFonts w:hint="eastAsia" w:ascii="宋体" w:hAnsi="宋体" w:eastAsia="宋体" w:cs="宋体"/>
          <w:szCs w:val="22"/>
        </w:rPr>
      </w:pPr>
      <w:r>
        <w:fldChar w:fldCharType="begin"/>
      </w:r>
      <w:r>
        <w:instrText xml:space="preserve"> HYPERLINK \l "_Toc130497266" </w:instrText>
      </w:r>
      <w:r>
        <w:fldChar w:fldCharType="separate"/>
      </w:r>
      <w:r>
        <w:rPr>
          <w:rStyle w:val="32"/>
          <w:rFonts w:hint="eastAsia"/>
        </w:rPr>
        <w:t>引言</w:t>
      </w:r>
      <w:r>
        <w:tab/>
      </w:r>
      <w:r>
        <w:rPr>
          <w:rFonts w:hint="eastAsia" w:ascii="宋体" w:hAnsi="宋体" w:eastAsia="宋体" w:cs="宋体"/>
        </w:rPr>
        <w:t>Ⅲ</w:t>
      </w:r>
      <w:r>
        <w:fldChar w:fldCharType="end"/>
      </w:r>
    </w:p>
    <w:p w14:paraId="74A31C4B">
      <w:pPr>
        <w:pStyle w:val="19"/>
        <w:tabs>
          <w:tab w:val="right" w:leader="dot" w:pos="9344"/>
        </w:tabs>
        <w:rPr>
          <w:rFonts w:asciiTheme="minorHAnsi" w:hAnsiTheme="minorHAnsi" w:eastAsiaTheme="minorEastAsia" w:cstheme="minorBidi"/>
          <w:szCs w:val="22"/>
        </w:rPr>
      </w:pPr>
      <w:r>
        <w:fldChar w:fldCharType="begin"/>
      </w:r>
      <w:r>
        <w:instrText xml:space="preserve"> HYPERLINK \l "_Toc130497267" </w:instrText>
      </w:r>
      <w:r>
        <w:fldChar w:fldCharType="separate"/>
      </w:r>
      <w:r>
        <w:rPr>
          <w:rStyle w:val="32"/>
        </w:rPr>
        <w:t xml:space="preserve">1 </w:t>
      </w:r>
      <w:r>
        <w:rPr>
          <w:rStyle w:val="32"/>
          <w:rFonts w:hint="eastAsia"/>
        </w:rPr>
        <w:t xml:space="preserve"> 范围</w:t>
      </w:r>
      <w:r>
        <w:tab/>
      </w:r>
      <w:r>
        <w:fldChar w:fldCharType="begin"/>
      </w:r>
      <w:r>
        <w:instrText xml:space="preserve"> PAGEREF _Toc130497267 \h </w:instrText>
      </w:r>
      <w:r>
        <w:fldChar w:fldCharType="separate"/>
      </w:r>
      <w:r>
        <w:t>1</w:t>
      </w:r>
      <w:r>
        <w:fldChar w:fldCharType="end"/>
      </w:r>
      <w:r>
        <w:fldChar w:fldCharType="end"/>
      </w:r>
    </w:p>
    <w:p w14:paraId="156A8076">
      <w:pPr>
        <w:pStyle w:val="19"/>
        <w:tabs>
          <w:tab w:val="right" w:leader="dot" w:pos="9344"/>
        </w:tabs>
        <w:rPr>
          <w:rFonts w:asciiTheme="minorHAnsi" w:hAnsiTheme="minorHAnsi" w:eastAsiaTheme="minorEastAsia" w:cstheme="minorBidi"/>
          <w:szCs w:val="22"/>
        </w:rPr>
      </w:pPr>
      <w:r>
        <w:fldChar w:fldCharType="begin"/>
      </w:r>
      <w:r>
        <w:instrText xml:space="preserve"> HYPERLINK \l "_Toc130497268" </w:instrText>
      </w:r>
      <w:r>
        <w:fldChar w:fldCharType="separate"/>
      </w:r>
      <w:r>
        <w:rPr>
          <w:rStyle w:val="32"/>
        </w:rPr>
        <w:t xml:space="preserve">2 </w:t>
      </w:r>
      <w:r>
        <w:rPr>
          <w:rStyle w:val="32"/>
          <w:rFonts w:hint="eastAsia"/>
        </w:rPr>
        <w:t xml:space="preserve"> 规范性引用文件</w:t>
      </w:r>
      <w:r>
        <w:tab/>
      </w:r>
      <w:r>
        <w:fldChar w:fldCharType="begin"/>
      </w:r>
      <w:r>
        <w:instrText xml:space="preserve"> PAGEREF _Toc130497268 \h </w:instrText>
      </w:r>
      <w:r>
        <w:fldChar w:fldCharType="separate"/>
      </w:r>
      <w:r>
        <w:t>1</w:t>
      </w:r>
      <w:r>
        <w:fldChar w:fldCharType="end"/>
      </w:r>
      <w:r>
        <w:fldChar w:fldCharType="end"/>
      </w:r>
    </w:p>
    <w:p w14:paraId="5B1F6D97">
      <w:pPr>
        <w:pStyle w:val="19"/>
        <w:tabs>
          <w:tab w:val="right" w:leader="dot" w:pos="9344"/>
        </w:tabs>
        <w:rPr>
          <w:rFonts w:asciiTheme="minorHAnsi" w:hAnsiTheme="minorHAnsi" w:eastAsiaTheme="minorEastAsia" w:cstheme="minorBidi"/>
          <w:szCs w:val="22"/>
        </w:rPr>
      </w:pPr>
      <w:r>
        <w:fldChar w:fldCharType="begin"/>
      </w:r>
      <w:r>
        <w:instrText xml:space="preserve"> HYPERLINK \l "_Toc130497269" </w:instrText>
      </w:r>
      <w:r>
        <w:fldChar w:fldCharType="separate"/>
      </w:r>
      <w:r>
        <w:rPr>
          <w:rStyle w:val="32"/>
        </w:rPr>
        <w:t xml:space="preserve">3 </w:t>
      </w:r>
      <w:r>
        <w:rPr>
          <w:rStyle w:val="32"/>
          <w:rFonts w:hint="eastAsia"/>
        </w:rPr>
        <w:t xml:space="preserve"> 术语和定义</w:t>
      </w:r>
      <w:r>
        <w:tab/>
      </w:r>
      <w:r>
        <w:rPr>
          <w:rFonts w:hint="eastAsia"/>
          <w:lang w:val="en-US" w:eastAsia="zh-CN"/>
        </w:rPr>
        <w:t>1</w:t>
      </w:r>
      <w:r>
        <w:fldChar w:fldCharType="end"/>
      </w:r>
    </w:p>
    <w:p w14:paraId="2A146170">
      <w:pPr>
        <w:pStyle w:val="19"/>
        <w:tabs>
          <w:tab w:val="right" w:leader="dot" w:pos="9344"/>
        </w:tabs>
        <w:rPr>
          <w:rFonts w:asciiTheme="minorHAnsi" w:hAnsiTheme="minorHAnsi" w:eastAsiaTheme="minorEastAsia" w:cstheme="minorBidi"/>
          <w:szCs w:val="22"/>
        </w:rPr>
      </w:pPr>
      <w:r>
        <w:fldChar w:fldCharType="begin"/>
      </w:r>
      <w:r>
        <w:instrText xml:space="preserve"> HYPERLINK \l "_Toc130497270" </w:instrText>
      </w:r>
      <w:r>
        <w:fldChar w:fldCharType="separate"/>
      </w:r>
      <w:r>
        <w:rPr>
          <w:rStyle w:val="32"/>
        </w:rPr>
        <w:t xml:space="preserve">4 </w:t>
      </w:r>
      <w:r>
        <w:rPr>
          <w:rStyle w:val="32"/>
          <w:rFonts w:hint="eastAsia"/>
        </w:rPr>
        <w:t xml:space="preserve"> </w:t>
      </w:r>
      <w:r>
        <w:rPr>
          <w:rStyle w:val="32"/>
          <w:rFonts w:hint="eastAsia"/>
          <w:lang w:eastAsia="zh-CN"/>
        </w:rPr>
        <w:t>技术要求</w:t>
      </w:r>
      <w:r>
        <w:tab/>
      </w:r>
      <w:r>
        <w:rPr>
          <w:rFonts w:hint="eastAsia"/>
          <w:lang w:val="en-US" w:eastAsia="zh-CN"/>
        </w:rPr>
        <w:t>2</w:t>
      </w:r>
      <w:r>
        <w:fldChar w:fldCharType="end"/>
      </w:r>
    </w:p>
    <w:p w14:paraId="3549B86D">
      <w:pPr>
        <w:pStyle w:val="19"/>
        <w:tabs>
          <w:tab w:val="right" w:leader="dot" w:pos="9344"/>
        </w:tabs>
      </w:pPr>
      <w:r>
        <w:fldChar w:fldCharType="begin"/>
      </w:r>
      <w:r>
        <w:instrText xml:space="preserve"> HYPERLINK \l "_Toc130497271" </w:instrText>
      </w:r>
      <w:r>
        <w:fldChar w:fldCharType="separate"/>
      </w:r>
      <w:r>
        <w:rPr>
          <w:rStyle w:val="32"/>
        </w:rPr>
        <w:t xml:space="preserve">5 </w:t>
      </w:r>
      <w:r>
        <w:rPr>
          <w:rStyle w:val="32"/>
          <w:rFonts w:hint="eastAsia"/>
        </w:rPr>
        <w:t xml:space="preserve"> 评价要求</w:t>
      </w:r>
      <w:r>
        <w:tab/>
      </w:r>
      <w:r>
        <w:rPr>
          <w:rFonts w:hint="eastAsia"/>
          <w:lang w:val="en-US" w:eastAsia="zh-CN"/>
        </w:rPr>
        <w:t>3</w:t>
      </w:r>
      <w:r>
        <w:fldChar w:fldCharType="end"/>
      </w:r>
    </w:p>
    <w:p w14:paraId="2159D2CC">
      <w:pPr>
        <w:pStyle w:val="19"/>
        <w:tabs>
          <w:tab w:val="right" w:leader="dot" w:pos="9344"/>
        </w:tabs>
        <w:rPr>
          <w:rFonts w:hint="default" w:eastAsia="宋体"/>
          <w:lang w:val="en-US" w:eastAsia="zh-CN"/>
        </w:rPr>
      </w:pPr>
      <w:r>
        <w:rPr>
          <w:rFonts w:hint="eastAsia"/>
          <w:lang w:val="en-US" w:eastAsia="zh-CN"/>
        </w:rPr>
        <w:t>6  评价指标</w:t>
      </w:r>
      <w:r>
        <w:fldChar w:fldCharType="begin"/>
      </w:r>
      <w:r>
        <w:instrText xml:space="preserve"> HYPERLINK \l "_Toc130497271" </w:instrText>
      </w:r>
      <w:r>
        <w:fldChar w:fldCharType="separate"/>
      </w:r>
      <w:r>
        <w:tab/>
      </w:r>
      <w:r>
        <w:rPr>
          <w:rFonts w:hint="eastAsia"/>
          <w:lang w:val="en-US" w:eastAsia="zh-CN"/>
        </w:rPr>
        <w:t>3</w:t>
      </w:r>
      <w:r>
        <w:fldChar w:fldCharType="end"/>
      </w:r>
    </w:p>
    <w:p w14:paraId="2A5E1043">
      <w:pPr>
        <w:pStyle w:val="91"/>
        <w:spacing w:after="36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2368D8AE">
      <w:pPr>
        <w:pStyle w:val="89"/>
        <w:spacing w:before="900" w:after="360"/>
      </w:pPr>
      <w:bookmarkStart w:id="22" w:name="_Toc130497265"/>
      <w:bookmarkStart w:id="23" w:name="BookMark2"/>
      <w:r>
        <w:rPr>
          <w:spacing w:val="320"/>
        </w:rPr>
        <w:t>前</w:t>
      </w:r>
      <w:r>
        <w:t>言</w:t>
      </w:r>
      <w:bookmarkEnd w:id="22"/>
    </w:p>
    <w:p w14:paraId="2D1DF352">
      <w:pPr>
        <w:pStyle w:val="56"/>
        <w:ind w:firstLine="420"/>
      </w:pPr>
      <w:r>
        <w:rPr>
          <w:rFonts w:hint="eastAsia"/>
        </w:rPr>
        <w:t>本</w:t>
      </w:r>
      <w:r>
        <w:rPr>
          <w:rFonts w:hint="eastAsia"/>
          <w:lang w:eastAsia="zh-CN"/>
        </w:rPr>
        <w:t>文件</w:t>
      </w:r>
      <w:r>
        <w:rPr>
          <w:rFonts w:hint="eastAsia"/>
        </w:rPr>
        <w:t>按照T</w:t>
      </w:r>
      <w:r>
        <w:rPr>
          <w:rFonts w:hint="eastAsia"/>
          <w:lang w:val="en-US" w:eastAsia="zh-CN"/>
        </w:rPr>
        <w:t xml:space="preserve">/CAS </w:t>
      </w:r>
      <w:r>
        <w:rPr>
          <w:rFonts w:hint="eastAsia"/>
        </w:rPr>
        <w:t>1.1—20</w:t>
      </w:r>
      <w:r>
        <w:rPr>
          <w:rFonts w:hint="eastAsia"/>
          <w:lang w:val="en-US" w:eastAsia="zh-CN"/>
        </w:rPr>
        <w:t>17</w:t>
      </w:r>
      <w:r>
        <w:rPr>
          <w:rFonts w:hint="eastAsia"/>
        </w:rPr>
        <w:t>《</w:t>
      </w:r>
      <w:r>
        <w:rPr>
          <w:rFonts w:hint="eastAsia"/>
          <w:lang w:eastAsia="zh-CN"/>
        </w:rPr>
        <w:t>团体标准的结构和编写指南</w:t>
      </w:r>
      <w:r>
        <w:rPr>
          <w:rFonts w:hint="eastAsia"/>
        </w:rPr>
        <w:t>》的规定起草。</w:t>
      </w:r>
    </w:p>
    <w:p w14:paraId="5816D1F5">
      <w:pPr>
        <w:pStyle w:val="56"/>
        <w:ind w:firstLine="420"/>
      </w:pPr>
      <w:r>
        <w:rPr>
          <w:rFonts w:hint="eastAsia"/>
          <w:lang w:eastAsia="zh-CN"/>
        </w:rPr>
        <w:t>考虑到</w:t>
      </w:r>
      <w:r>
        <w:rPr>
          <w:rFonts w:hint="eastAsia"/>
        </w:rPr>
        <w:t>本</w:t>
      </w:r>
      <w:r>
        <w:rPr>
          <w:rFonts w:hint="eastAsia"/>
          <w:lang w:eastAsia="zh-CN"/>
        </w:rPr>
        <w:t>文件中</w:t>
      </w:r>
      <w:r>
        <w:rPr>
          <w:rFonts w:hint="eastAsia"/>
        </w:rPr>
        <w:t>的某些</w:t>
      </w:r>
      <w:r>
        <w:rPr>
          <w:rFonts w:hint="eastAsia"/>
          <w:lang w:eastAsia="zh-CN"/>
        </w:rPr>
        <w:t>条款</w:t>
      </w:r>
      <w:r>
        <w:rPr>
          <w:rFonts w:hint="eastAsia"/>
        </w:rPr>
        <w:t>可能涉及专利</w:t>
      </w:r>
      <w:r>
        <w:rPr>
          <w:rFonts w:hint="eastAsia"/>
          <w:lang w:eastAsia="zh-CN"/>
        </w:rPr>
        <w:t>权，</w:t>
      </w:r>
      <w:r>
        <w:rPr>
          <w:rFonts w:hint="eastAsia"/>
        </w:rPr>
        <w:t>本</w:t>
      </w:r>
      <w:r>
        <w:rPr>
          <w:rFonts w:hint="eastAsia"/>
          <w:lang w:eastAsia="zh-CN"/>
        </w:rPr>
        <w:t>文件</w:t>
      </w:r>
      <w:r>
        <w:rPr>
          <w:rFonts w:hint="eastAsia"/>
        </w:rPr>
        <w:t>的发布机构不</w:t>
      </w:r>
      <w:r>
        <w:rPr>
          <w:rFonts w:hint="eastAsia"/>
          <w:lang w:eastAsia="zh-CN"/>
        </w:rPr>
        <w:t>负责对任何该类</w:t>
      </w:r>
      <w:r>
        <w:rPr>
          <w:rFonts w:hint="eastAsia"/>
        </w:rPr>
        <w:t>专利</w:t>
      </w:r>
      <w:r>
        <w:rPr>
          <w:rFonts w:hint="eastAsia"/>
          <w:lang w:eastAsia="zh-CN"/>
        </w:rPr>
        <w:t>权</w:t>
      </w:r>
      <w:r>
        <w:rPr>
          <w:rFonts w:hint="eastAsia"/>
        </w:rPr>
        <w:t>的</w:t>
      </w:r>
      <w:r>
        <w:rPr>
          <w:rFonts w:hint="eastAsia"/>
          <w:lang w:eastAsia="zh-CN"/>
        </w:rPr>
        <w:t>鉴别</w:t>
      </w:r>
      <w:r>
        <w:rPr>
          <w:rFonts w:hint="eastAsia"/>
        </w:rPr>
        <w:t>。</w:t>
      </w:r>
    </w:p>
    <w:p w14:paraId="44037327">
      <w:pPr>
        <w:pStyle w:val="56"/>
        <w:ind w:firstLine="420"/>
      </w:pPr>
      <w:r>
        <w:rPr>
          <w:rFonts w:hint="eastAsia"/>
        </w:rPr>
        <w:t>本</w:t>
      </w:r>
      <w:r>
        <w:rPr>
          <w:rFonts w:hint="eastAsia"/>
          <w:lang w:eastAsia="zh-CN"/>
        </w:rPr>
        <w:t>文件</w:t>
      </w:r>
      <w:r>
        <w:rPr>
          <w:rFonts w:hint="eastAsia"/>
        </w:rPr>
        <w:t>由江西绿色生态品牌建设促进会提出并归口。</w:t>
      </w:r>
    </w:p>
    <w:p w14:paraId="0F17D270">
      <w:pPr>
        <w:pStyle w:val="56"/>
        <w:ind w:firstLine="420"/>
      </w:pPr>
      <w:r>
        <w:rPr>
          <w:rFonts w:hint="eastAsia"/>
        </w:rPr>
        <w:t>本</w:t>
      </w:r>
      <w:r>
        <w:rPr>
          <w:rFonts w:hint="eastAsia"/>
          <w:lang w:eastAsia="zh-CN"/>
        </w:rPr>
        <w:t>文件</w:t>
      </w:r>
      <w:r>
        <w:rPr>
          <w:rFonts w:hint="eastAsia"/>
        </w:rPr>
        <w:t>起草单位：</w:t>
      </w:r>
      <w:r>
        <w:rPr>
          <w:rFonts w:hint="eastAsia"/>
          <w:lang w:eastAsia="zh-CN"/>
        </w:rPr>
        <w:t>会昌县珠兰乡祠堂下村金色田源生态农牧专业合作社</w:t>
      </w:r>
      <w:r>
        <w:rPr>
          <w:rFonts w:hint="eastAsia"/>
        </w:rPr>
        <w:t>、</w:t>
      </w:r>
      <w:r>
        <w:rPr>
          <w:rFonts w:hint="eastAsia"/>
          <w:lang w:val="en-US" w:eastAsia="zh-CN"/>
        </w:rPr>
        <w:t>会昌县市场监督管理局、会昌县果业协会、</w:t>
      </w:r>
      <w:r>
        <w:rPr>
          <w:rFonts w:hint="eastAsia"/>
          <w:lang w:eastAsia="zh-CN"/>
        </w:rPr>
        <w:t>会昌县金担蛋生态农业有限公司、会昌兴业农业开发有限公司、江西省永记果业有限公司、会昌县丰森果业专业合作社、</w:t>
      </w:r>
      <w:r>
        <w:rPr>
          <w:rFonts w:hint="eastAsia"/>
        </w:rPr>
        <w:t>江西华中标准化事务所。</w:t>
      </w:r>
    </w:p>
    <w:p w14:paraId="0B877474">
      <w:pPr>
        <w:pStyle w:val="56"/>
        <w:ind w:firstLine="420"/>
      </w:pPr>
      <w:r>
        <w:rPr>
          <w:rFonts w:hint="eastAsia"/>
        </w:rPr>
        <w:t>本</w:t>
      </w:r>
      <w:r>
        <w:rPr>
          <w:rFonts w:hint="eastAsia"/>
          <w:lang w:eastAsia="zh-CN"/>
        </w:rPr>
        <w:t>文件</w:t>
      </w:r>
      <w:r>
        <w:rPr>
          <w:rFonts w:hint="eastAsia"/>
        </w:rPr>
        <w:t>主要起草人：</w:t>
      </w:r>
      <w:r>
        <w:rPr>
          <w:rFonts w:hint="eastAsia"/>
          <w:lang w:val="en-US" w:eastAsia="zh-CN"/>
        </w:rPr>
        <w:t xml:space="preserve">              </w:t>
      </w:r>
    </w:p>
    <w:p w14:paraId="43F6C904">
      <w:pPr>
        <w:pStyle w:val="56"/>
        <w:ind w:firstLine="420"/>
      </w:pPr>
    </w:p>
    <w:p w14:paraId="5AF7046D">
      <w:pPr>
        <w:pStyle w:val="56"/>
        <w:ind w:firstLine="420"/>
        <w:sectPr>
          <w:pgSz w:w="11906" w:h="16838"/>
          <w:pgMar w:top="1928" w:right="1134" w:bottom="1134" w:left="1134" w:header="1418" w:footer="1134" w:gutter="284"/>
          <w:pgNumType w:fmt="upperRoman"/>
          <w:cols w:space="425" w:num="1"/>
          <w:formProt w:val="0"/>
          <w:docGrid w:linePitch="312" w:charSpace="0"/>
        </w:sectPr>
      </w:pPr>
    </w:p>
    <w:bookmarkEnd w:id="23"/>
    <w:p w14:paraId="3FC06616">
      <w:pPr>
        <w:pStyle w:val="89"/>
        <w:spacing w:after="360"/>
        <w:rPr>
          <w:color w:val="auto"/>
        </w:rPr>
      </w:pPr>
      <w:bookmarkStart w:id="24" w:name="_Toc130497266"/>
      <w:bookmarkStart w:id="25" w:name="BookMark3"/>
      <w:r>
        <w:rPr>
          <w:spacing w:val="320"/>
        </w:rPr>
        <w:t>引</w:t>
      </w:r>
      <w:r>
        <w:t>言</w:t>
      </w:r>
      <w:bookmarkEnd w:id="24"/>
    </w:p>
    <w:p w14:paraId="3B122B02">
      <w:pPr>
        <w:pStyle w:val="132"/>
        <w:numPr>
          <w:ilvl w:val="0"/>
          <w:numId w:val="0"/>
        </w:numPr>
        <w:tabs>
          <w:tab w:val="left" w:pos="426"/>
          <w:tab w:val="clear" w:pos="851"/>
        </w:tabs>
        <w:ind w:firstLine="420" w:firstLineChars="200"/>
        <w:rPr>
          <w:color w:val="auto"/>
        </w:rPr>
      </w:pPr>
      <w:r>
        <w:rPr>
          <w:rFonts w:hint="eastAsia"/>
          <w:color w:val="auto"/>
          <w:lang w:eastAsia="zh-CN"/>
        </w:rPr>
        <w:t>会昌桔柚</w:t>
      </w:r>
      <w:r>
        <w:rPr>
          <w:rFonts w:hint="eastAsia"/>
          <w:color w:val="auto"/>
        </w:rPr>
        <w:t>具有果实扁圆</w:t>
      </w:r>
      <w:r>
        <w:rPr>
          <w:rFonts w:hint="eastAsia"/>
          <w:color w:val="auto"/>
          <w:lang w:eastAsia="zh-CN"/>
        </w:rPr>
        <w:t>、</w:t>
      </w:r>
      <w:r>
        <w:rPr>
          <w:rFonts w:hint="eastAsia"/>
          <w:color w:val="auto"/>
        </w:rPr>
        <w:t>外表金黄艳丽</w:t>
      </w:r>
      <w:r>
        <w:rPr>
          <w:rFonts w:hint="eastAsia"/>
          <w:color w:val="auto"/>
          <w:lang w:eastAsia="zh-CN"/>
        </w:rPr>
        <w:t>，</w:t>
      </w:r>
      <w:r>
        <w:rPr>
          <w:rFonts w:hint="eastAsia"/>
          <w:color w:val="auto"/>
        </w:rPr>
        <w:t xml:space="preserve"> 兼具桔和柚的香气</w:t>
      </w:r>
      <w:r>
        <w:rPr>
          <w:rFonts w:hint="eastAsia"/>
          <w:color w:val="auto"/>
          <w:lang w:eastAsia="zh-CN"/>
        </w:rPr>
        <w:t>，</w:t>
      </w:r>
      <w:r>
        <w:rPr>
          <w:rFonts w:hint="eastAsia"/>
          <w:color w:val="auto"/>
        </w:rPr>
        <w:t>果肉鲜甜、汁多、化渣、口感清爽，富含有机酸、维生素及人体必须的微量元素，食用后不上火等特点</w:t>
      </w:r>
      <w:r>
        <w:rPr>
          <w:rFonts w:hint="eastAsia"/>
          <w:color w:val="auto"/>
          <w:lang w:eastAsia="zh-CN"/>
        </w:rPr>
        <w:t>，是</w:t>
      </w:r>
      <w:r>
        <w:rPr>
          <w:rFonts w:ascii="Arial" w:hAnsi="Arial" w:eastAsia="宋体" w:cs="Arial"/>
          <w:i w:val="0"/>
          <w:iCs w:val="0"/>
          <w:caps w:val="0"/>
          <w:color w:val="333333"/>
          <w:spacing w:val="0"/>
          <w:sz w:val="21"/>
          <w:szCs w:val="21"/>
          <w:shd w:val="clear" w:fill="FFFFFF"/>
        </w:rPr>
        <w:t>江西省赣州市</w:t>
      </w:r>
      <w:r>
        <w:rPr>
          <w:rFonts w:hint="eastAsia" w:ascii="Arial" w:hAnsi="Arial" w:cs="Arial"/>
          <w:i w:val="0"/>
          <w:iCs w:val="0"/>
          <w:caps w:val="0"/>
          <w:color w:val="333333"/>
          <w:spacing w:val="0"/>
          <w:sz w:val="21"/>
          <w:szCs w:val="21"/>
          <w:shd w:val="clear" w:fill="FFFFFF"/>
          <w:lang w:eastAsia="zh-CN"/>
        </w:rPr>
        <w:t>会昌县</w:t>
      </w:r>
      <w:r>
        <w:rPr>
          <w:rFonts w:hint="default" w:ascii="Arial" w:hAnsi="Arial" w:eastAsia="宋体" w:cs="Arial"/>
          <w:i w:val="0"/>
          <w:iCs w:val="0"/>
          <w:caps w:val="0"/>
          <w:color w:val="333333"/>
          <w:spacing w:val="0"/>
          <w:sz w:val="21"/>
          <w:szCs w:val="21"/>
          <w:shd w:val="clear" w:fill="FFFFFF"/>
        </w:rPr>
        <w:t>特产，中国国家地理标志产品。</w:t>
      </w:r>
    </w:p>
    <w:p w14:paraId="38374944">
      <w:pPr>
        <w:pStyle w:val="132"/>
        <w:numPr>
          <w:ilvl w:val="0"/>
          <w:numId w:val="0"/>
        </w:numPr>
        <w:tabs>
          <w:tab w:val="left" w:pos="426"/>
          <w:tab w:val="clear" w:pos="851"/>
        </w:tabs>
        <w:ind w:firstLine="420" w:firstLineChars="200"/>
        <w:rPr>
          <w:color w:val="auto"/>
        </w:rPr>
        <w:sectPr>
          <w:pgSz w:w="11906" w:h="16838"/>
          <w:pgMar w:top="1928" w:right="1134" w:bottom="1134" w:left="1134" w:header="1418" w:footer="1134" w:gutter="284"/>
          <w:pgNumType w:fmt="upperRoman"/>
          <w:cols w:space="425" w:num="1"/>
          <w:formProt w:val="0"/>
          <w:docGrid w:linePitch="312" w:charSpace="0"/>
        </w:sectPr>
      </w:pPr>
      <w:r>
        <w:rPr>
          <w:rFonts w:hint="eastAsia"/>
          <w:color w:val="auto"/>
          <w:lang w:eastAsia="zh-CN"/>
        </w:rPr>
        <w:t>本文件中会昌桔柚产品的技术要求等同采用了</w:t>
      </w:r>
      <w:r>
        <w:rPr>
          <w:rFonts w:hint="eastAsia"/>
          <w:color w:val="auto"/>
          <w:lang w:val="en-US" w:eastAsia="zh-CN"/>
        </w:rPr>
        <w:t>DB36/T 1417 《地理标志产品  会昌桔柚》的技术要求，以利于</w:t>
      </w:r>
      <w:r>
        <w:rPr>
          <w:rFonts w:hint="eastAsia"/>
          <w:color w:val="auto"/>
        </w:rPr>
        <w:t>通过“江西绿色生态”品牌认证的</w:t>
      </w:r>
      <w:r>
        <w:rPr>
          <w:rFonts w:hint="eastAsia"/>
          <w:color w:val="auto"/>
          <w:lang w:eastAsia="zh-CN"/>
        </w:rPr>
        <w:t>会昌桔柚产品能同时获得地理标志产品保护</w:t>
      </w:r>
      <w:r>
        <w:rPr>
          <w:rFonts w:hint="eastAsia"/>
          <w:color w:val="auto"/>
        </w:rPr>
        <w:t>。</w:t>
      </w:r>
    </w:p>
    <w:bookmarkEnd w:id="25"/>
    <w:p w14:paraId="479FED75">
      <w:pPr>
        <w:spacing w:line="20" w:lineRule="exact"/>
        <w:jc w:val="center"/>
        <w:rPr>
          <w:rFonts w:ascii="黑体" w:hAnsi="黑体" w:eastAsia="黑体"/>
          <w:sz w:val="32"/>
          <w:szCs w:val="32"/>
        </w:rPr>
      </w:pPr>
      <w:bookmarkStart w:id="26" w:name="BookMark4"/>
    </w:p>
    <w:p w14:paraId="20159BC0">
      <w:pPr>
        <w:spacing w:line="20" w:lineRule="exact"/>
        <w:jc w:val="center"/>
        <w:rPr>
          <w:rFonts w:ascii="黑体" w:hAnsi="黑体" w:eastAsia="黑体"/>
          <w:sz w:val="32"/>
          <w:szCs w:val="32"/>
        </w:rPr>
      </w:pPr>
    </w:p>
    <w:sdt>
      <w:sdtPr>
        <w:tag w:val="NEW_STAND_NAME"/>
        <w:id w:val="595910757"/>
        <w:lock w:val="sdtLocked"/>
        <w:placeholder>
          <w:docPart w:val="9C7A3C8934FF4614B8FDE9C0B0D4B899"/>
        </w:placeholder>
      </w:sdtPr>
      <w:sdtContent>
        <w:p w14:paraId="560C3B86">
          <w:pPr>
            <w:pStyle w:val="177"/>
            <w:spacing w:before="240" w:beforeLines="100" w:after="528" w:afterLines="220"/>
          </w:pPr>
          <w:bookmarkStart w:id="27" w:name="NEW_STAND_NAME"/>
          <w:r>
            <w:rPr>
              <w:rFonts w:hint="eastAsia"/>
            </w:rPr>
            <w:t>江西绿色生态</w:t>
          </w:r>
          <w:r>
            <w:t xml:space="preserve"> </w:t>
          </w:r>
          <w:r>
            <w:rPr>
              <w:rFonts w:hint="eastAsia"/>
              <w:lang w:eastAsia="zh-CN"/>
            </w:rPr>
            <w:t>会昌桔柚</w:t>
          </w:r>
        </w:p>
      </w:sdtContent>
    </w:sdt>
    <w:bookmarkEnd w:id="27"/>
    <w:p w14:paraId="244BC59D">
      <w:pPr>
        <w:pStyle w:val="104"/>
        <w:spacing w:before="240" w:after="240"/>
      </w:pPr>
      <w:bookmarkStart w:id="28" w:name="_Toc17233333"/>
      <w:bookmarkStart w:id="29" w:name="_Toc97192964"/>
      <w:bookmarkStart w:id="30" w:name="_Toc130497267"/>
      <w:bookmarkStart w:id="31" w:name="_Toc26986771"/>
      <w:bookmarkStart w:id="32" w:name="_Toc24884218"/>
      <w:bookmarkStart w:id="33" w:name="_Toc17233325"/>
      <w:bookmarkStart w:id="34" w:name="_Toc26648465"/>
      <w:bookmarkStart w:id="35" w:name="_Toc26986530"/>
      <w:bookmarkStart w:id="36" w:name="_Toc24884211"/>
      <w:bookmarkStart w:id="37" w:name="_Toc26718930"/>
      <w:r>
        <w:rPr>
          <w:rFonts w:hint="eastAsia"/>
        </w:rPr>
        <w:t>范围</w:t>
      </w:r>
      <w:bookmarkEnd w:id="28"/>
      <w:bookmarkEnd w:id="29"/>
      <w:bookmarkEnd w:id="30"/>
      <w:bookmarkEnd w:id="31"/>
      <w:bookmarkEnd w:id="32"/>
      <w:bookmarkEnd w:id="33"/>
      <w:bookmarkEnd w:id="34"/>
      <w:bookmarkEnd w:id="35"/>
      <w:bookmarkEnd w:id="36"/>
      <w:bookmarkEnd w:id="37"/>
    </w:p>
    <w:p w14:paraId="597FC30B">
      <w:pPr>
        <w:pStyle w:val="56"/>
        <w:ind w:firstLine="420"/>
        <w:rPr>
          <w:color w:val="auto"/>
        </w:rPr>
      </w:pPr>
      <w:bookmarkStart w:id="38" w:name="_Toc17233326"/>
      <w:bookmarkStart w:id="39" w:name="_Toc24884212"/>
      <w:bookmarkStart w:id="40" w:name="_Toc24884219"/>
      <w:bookmarkStart w:id="41" w:name="_Toc26648466"/>
      <w:bookmarkStart w:id="42" w:name="_Toc17233334"/>
      <w:r>
        <w:rPr>
          <w:rFonts w:hint="eastAsia"/>
          <w:color w:val="auto"/>
        </w:rPr>
        <w:t>本文件</w:t>
      </w:r>
      <w:r>
        <w:rPr>
          <w:rFonts w:hint="eastAsia"/>
          <w:color w:val="auto"/>
          <w:lang w:eastAsia="zh-CN"/>
        </w:rPr>
        <w:t>规定</w:t>
      </w:r>
      <w:r>
        <w:rPr>
          <w:rFonts w:hint="eastAsia"/>
          <w:color w:val="auto"/>
        </w:rPr>
        <w:t>了江西绿色生态</w:t>
      </w:r>
      <w:r>
        <w:rPr>
          <w:rFonts w:hint="eastAsia"/>
          <w:color w:val="auto"/>
          <w:lang w:eastAsia="zh-CN"/>
        </w:rPr>
        <w:t>会昌桔柚</w:t>
      </w:r>
      <w:r>
        <w:rPr>
          <w:rFonts w:hint="eastAsia"/>
          <w:color w:val="auto"/>
        </w:rPr>
        <w:t>的</w:t>
      </w:r>
      <w:r>
        <w:rPr>
          <w:rFonts w:hint="eastAsia"/>
          <w:color w:val="auto"/>
          <w:lang w:eastAsia="zh-CN"/>
        </w:rPr>
        <w:t>技术</w:t>
      </w:r>
      <w:r>
        <w:rPr>
          <w:rFonts w:hint="eastAsia"/>
          <w:color w:val="auto"/>
        </w:rPr>
        <w:t>要求、评价要求。</w:t>
      </w:r>
    </w:p>
    <w:p w14:paraId="20BEDAF2">
      <w:pPr>
        <w:pStyle w:val="56"/>
        <w:ind w:firstLine="420"/>
        <w:rPr>
          <w:color w:val="auto"/>
        </w:rPr>
      </w:pPr>
      <w:r>
        <w:rPr>
          <w:rFonts w:hint="eastAsia"/>
          <w:color w:val="auto"/>
        </w:rPr>
        <w:t>本文件适用于</w:t>
      </w:r>
      <w:r>
        <w:rPr>
          <w:rFonts w:hint="eastAsia"/>
          <w:color w:val="auto"/>
          <w:lang w:eastAsia="zh-CN"/>
        </w:rPr>
        <w:t>会昌桔柚鲜果</w:t>
      </w:r>
      <w:r>
        <w:rPr>
          <w:rFonts w:hint="eastAsia"/>
          <w:color w:val="auto"/>
        </w:rPr>
        <w:t>申请“江西绿色生态”品牌认证的评价活动。</w:t>
      </w:r>
    </w:p>
    <w:p w14:paraId="3E77707E">
      <w:pPr>
        <w:pStyle w:val="104"/>
        <w:spacing w:before="240" w:after="240"/>
      </w:pPr>
      <w:bookmarkStart w:id="43" w:name="_Toc26986772"/>
      <w:bookmarkStart w:id="44" w:name="_Toc97192965"/>
      <w:bookmarkStart w:id="45" w:name="_Toc26986531"/>
      <w:bookmarkStart w:id="46" w:name="_Toc130497268"/>
      <w:bookmarkStart w:id="47" w:name="_Toc26718931"/>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7F48E6C3783E4E82AD98FDCE7C5A1BC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CA707B0">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4680955">
      <w:pPr>
        <w:pStyle w:val="56"/>
        <w:ind w:firstLine="420"/>
        <w:rPr>
          <w:color w:val="auto"/>
        </w:rPr>
      </w:pPr>
      <w:bookmarkStart w:id="48" w:name="_Toc97192966"/>
      <w:bookmarkStart w:id="49" w:name="_Toc130497269"/>
      <w:r>
        <w:rPr>
          <w:rFonts w:hint="eastAsia"/>
          <w:color w:val="auto"/>
        </w:rPr>
        <w:t>GB 2761 食品安全国家标准 食品中真菌毒素限量</w:t>
      </w:r>
    </w:p>
    <w:p w14:paraId="3988A96C">
      <w:pPr>
        <w:pStyle w:val="56"/>
        <w:ind w:firstLine="420"/>
        <w:rPr>
          <w:color w:val="auto"/>
        </w:rPr>
      </w:pPr>
      <w:r>
        <w:rPr>
          <w:rFonts w:hint="eastAsia"/>
          <w:color w:val="auto"/>
        </w:rPr>
        <w:t>GB 2762 食品安全国家标准 食品中污染物限量</w:t>
      </w:r>
    </w:p>
    <w:p w14:paraId="6E1D43D9">
      <w:pPr>
        <w:pStyle w:val="56"/>
        <w:ind w:firstLine="420"/>
        <w:rPr>
          <w:color w:val="auto"/>
        </w:rPr>
      </w:pPr>
      <w:r>
        <w:rPr>
          <w:rFonts w:hint="eastAsia"/>
          <w:color w:val="auto"/>
        </w:rPr>
        <w:t>GB 2763 食品安全国家标准 食品中农药最大残留限量</w:t>
      </w:r>
    </w:p>
    <w:p w14:paraId="07F61AD5">
      <w:pPr>
        <w:pStyle w:val="56"/>
        <w:ind w:firstLine="420"/>
        <w:rPr>
          <w:color w:val="auto"/>
        </w:rPr>
      </w:pPr>
      <w:r>
        <w:rPr>
          <w:rFonts w:hint="eastAsia"/>
          <w:color w:val="auto"/>
        </w:rPr>
        <w:t>GB 4806.6 食品安全国家标准 食品接触用塑料树脂</w:t>
      </w:r>
    </w:p>
    <w:p w14:paraId="229C3E1A">
      <w:pPr>
        <w:pStyle w:val="56"/>
        <w:ind w:firstLine="420"/>
        <w:rPr>
          <w:color w:val="auto"/>
        </w:rPr>
      </w:pPr>
      <w:r>
        <w:rPr>
          <w:rFonts w:hint="eastAsia"/>
          <w:color w:val="auto"/>
        </w:rPr>
        <w:t>GB 4806.7 食品安全国家标准 食品接触用塑料材料及制品</w:t>
      </w:r>
    </w:p>
    <w:p w14:paraId="1E01F8FE">
      <w:pPr>
        <w:pStyle w:val="56"/>
        <w:ind w:firstLine="420"/>
        <w:rPr>
          <w:color w:val="auto"/>
        </w:rPr>
      </w:pPr>
      <w:r>
        <w:rPr>
          <w:rFonts w:hint="eastAsia"/>
          <w:color w:val="auto"/>
        </w:rPr>
        <w:t>GB 4806.8 食品安全国家标准 食品接触用纸和纸板材料及制品</w:t>
      </w:r>
    </w:p>
    <w:p w14:paraId="0BCE2DCD">
      <w:pPr>
        <w:pStyle w:val="56"/>
        <w:ind w:firstLine="420"/>
        <w:rPr>
          <w:rFonts w:hint="eastAsia"/>
          <w:color w:val="auto"/>
        </w:rPr>
      </w:pPr>
      <w:r>
        <w:rPr>
          <w:rFonts w:hint="eastAsia"/>
          <w:color w:val="auto"/>
        </w:rPr>
        <w:t>GB 4806.9 食品安全国家标准 食品接触用金属材料及制品</w:t>
      </w:r>
    </w:p>
    <w:p w14:paraId="09ED8619">
      <w:pPr>
        <w:pStyle w:val="56"/>
        <w:ind w:firstLine="420"/>
        <w:rPr>
          <w:rFonts w:hint="eastAsia" w:ascii="宋体" w:hAnsi="宋体" w:eastAsia="宋体" w:cs="宋体"/>
          <w:color w:val="auto"/>
          <w:sz w:val="21"/>
          <w:szCs w:val="21"/>
        </w:rPr>
      </w:pPr>
      <w:r>
        <w:rPr>
          <w:rFonts w:hint="eastAsia" w:ascii="宋体" w:hAnsi="宋体" w:eastAsia="宋体" w:cs="宋体"/>
          <w:color w:val="auto"/>
          <w:sz w:val="21"/>
          <w:szCs w:val="21"/>
        </w:rPr>
        <w:t xml:space="preserve">GB </w:t>
      </w:r>
      <w:r>
        <w:rPr>
          <w:rFonts w:hint="eastAsia" w:ascii="宋体" w:hAnsi="宋体" w:eastAsia="宋体" w:cs="宋体"/>
          <w:color w:val="auto"/>
          <w:sz w:val="21"/>
          <w:szCs w:val="21"/>
          <w:lang w:val="en-US" w:eastAsia="zh-CN"/>
        </w:rPr>
        <w:t xml:space="preserve">4806.13 </w:t>
      </w:r>
      <w:r>
        <w:rPr>
          <w:rFonts w:hint="eastAsia" w:ascii="宋体" w:hAnsi="宋体" w:eastAsia="宋体" w:cs="宋体"/>
          <w:i w:val="0"/>
          <w:iCs w:val="0"/>
          <w:caps w:val="0"/>
          <w:color w:val="auto"/>
          <w:spacing w:val="0"/>
          <w:sz w:val="21"/>
          <w:szCs w:val="21"/>
          <w:shd w:val="clear" w:fill="FFFFFF"/>
        </w:rPr>
        <w:t>食品安全国家标准 食品接触用复合材料及制品</w:t>
      </w:r>
    </w:p>
    <w:p w14:paraId="0B0C5231">
      <w:pPr>
        <w:pStyle w:val="56"/>
        <w:ind w:firstLine="420"/>
        <w:rPr>
          <w:rFonts w:ascii="Verdana" w:hAnsi="Verdana" w:eastAsia="宋体" w:cs="Verdana"/>
          <w:i w:val="0"/>
          <w:iCs w:val="0"/>
          <w:caps w:val="0"/>
          <w:color w:val="auto"/>
          <w:spacing w:val="0"/>
          <w:sz w:val="21"/>
          <w:szCs w:val="21"/>
          <w:shd w:val="clear" w:fill="FFFFFF"/>
        </w:rPr>
      </w:pPr>
      <w:r>
        <w:rPr>
          <w:rFonts w:hint="eastAsia" w:ascii="宋体" w:hAnsi="宋体" w:eastAsia="宋体" w:cs="宋体"/>
          <w:b w:val="0"/>
          <w:bCs w:val="0"/>
          <w:color w:val="auto"/>
          <w:spacing w:val="0"/>
          <w:sz w:val="21"/>
          <w:szCs w:val="21"/>
        </w:rPr>
        <w:t>GB 5009.7</w:t>
      </w:r>
      <w:r>
        <w:rPr>
          <w:rFonts w:hint="eastAsia" w:hAnsi="宋体" w:cs="宋体"/>
          <w:b w:val="0"/>
          <w:bCs w:val="0"/>
          <w:color w:val="auto"/>
          <w:spacing w:val="0"/>
          <w:sz w:val="21"/>
          <w:szCs w:val="21"/>
          <w:lang w:val="en-US" w:eastAsia="zh-CN"/>
        </w:rPr>
        <w:t xml:space="preserve"> </w:t>
      </w:r>
      <w:r>
        <w:rPr>
          <w:rFonts w:ascii="Verdana" w:hAnsi="Verdana" w:eastAsia="宋体" w:cs="Verdana"/>
          <w:i w:val="0"/>
          <w:iCs w:val="0"/>
          <w:caps w:val="0"/>
          <w:color w:val="auto"/>
          <w:spacing w:val="0"/>
          <w:sz w:val="21"/>
          <w:szCs w:val="21"/>
          <w:shd w:val="clear" w:fill="FFFFFF"/>
        </w:rPr>
        <w:t>食品安全国家标准 食品中还原糖的测定</w:t>
      </w:r>
    </w:p>
    <w:p w14:paraId="0A181FD9">
      <w:pPr>
        <w:pStyle w:val="56"/>
        <w:ind w:firstLine="420"/>
        <w:rPr>
          <w:rFonts w:hint="eastAsia" w:ascii="宋体" w:hAnsi="宋体" w:eastAsia="宋体" w:cs="宋体"/>
          <w:i w:val="0"/>
          <w:iCs w:val="0"/>
          <w:caps w:val="0"/>
          <w:color w:val="auto"/>
          <w:spacing w:val="0"/>
          <w:sz w:val="21"/>
          <w:szCs w:val="21"/>
          <w:shd w:val="clear" w:fill="FFFFFF"/>
        </w:rPr>
      </w:pPr>
      <w:r>
        <w:rPr>
          <w:rFonts w:hint="eastAsia" w:ascii="宋体" w:hAnsi="宋体" w:eastAsia="宋体" w:cs="宋体"/>
          <w:color w:val="auto"/>
          <w:sz w:val="21"/>
          <w:szCs w:val="21"/>
        </w:rPr>
        <w:t>GB</w:t>
      </w:r>
      <w:r>
        <w:rPr>
          <w:rFonts w:hint="eastAsia" w:ascii="宋体" w:hAnsi="宋体" w:eastAsia="宋体" w:cs="宋体"/>
          <w:color w:val="auto"/>
          <w:sz w:val="21"/>
          <w:szCs w:val="21"/>
          <w:lang w:val="en-US" w:eastAsia="zh-CN"/>
        </w:rPr>
        <w:t xml:space="preserve"> 7718 </w:t>
      </w:r>
      <w:r>
        <w:rPr>
          <w:rFonts w:hint="eastAsia" w:ascii="宋体" w:hAnsi="宋体" w:eastAsia="宋体" w:cs="宋体"/>
          <w:i w:val="0"/>
          <w:iCs w:val="0"/>
          <w:caps w:val="0"/>
          <w:color w:val="auto"/>
          <w:spacing w:val="0"/>
          <w:sz w:val="21"/>
          <w:szCs w:val="21"/>
          <w:shd w:val="clear" w:fill="FFFFFF"/>
        </w:rPr>
        <w:t>食品安全国家标准 预包装食品标签通则</w:t>
      </w:r>
    </w:p>
    <w:p w14:paraId="6F9A4C25">
      <w:pPr>
        <w:pStyle w:val="56"/>
        <w:ind w:firstLine="420"/>
        <w:rPr>
          <w:rFonts w:hint="eastAsia" w:ascii="宋体" w:hAnsi="宋体" w:eastAsia="宋体" w:cs="宋体"/>
          <w:i w:val="0"/>
          <w:iCs w:val="0"/>
          <w:caps w:val="0"/>
          <w:color w:val="auto"/>
          <w:spacing w:val="0"/>
          <w:sz w:val="21"/>
          <w:szCs w:val="21"/>
          <w:shd w:val="clear" w:fill="FFFFFF"/>
        </w:rPr>
      </w:pPr>
      <w:r>
        <w:rPr>
          <w:rFonts w:hint="eastAsia"/>
          <w:color w:val="auto"/>
        </w:rPr>
        <w:t>GB 23350 限制商品过度包装要求 食品和化妆品</w:t>
      </w:r>
    </w:p>
    <w:p w14:paraId="51D5AA94">
      <w:pPr>
        <w:pStyle w:val="56"/>
        <w:ind w:firstLine="420"/>
        <w:rPr>
          <w:rFonts w:hint="eastAsia"/>
          <w:color w:val="auto"/>
        </w:rPr>
      </w:pPr>
      <w:r>
        <w:rPr>
          <w:rFonts w:hint="eastAsia"/>
          <w:color w:val="auto"/>
        </w:rPr>
        <w:t>GB/T 191 包装储运图示标志</w:t>
      </w:r>
    </w:p>
    <w:p w14:paraId="2559C594">
      <w:pPr>
        <w:pStyle w:val="56"/>
        <w:ind w:firstLine="420"/>
        <w:rPr>
          <w:rFonts w:hint="eastAsia"/>
          <w:color w:val="auto"/>
        </w:rPr>
      </w:pPr>
      <w:r>
        <w:rPr>
          <w:rFonts w:hint="eastAsia"/>
          <w:color w:val="auto"/>
        </w:rPr>
        <w:t>GB/T 6388 运输包装收发货标志</w:t>
      </w:r>
    </w:p>
    <w:p w14:paraId="7A0396E2">
      <w:pPr>
        <w:pStyle w:val="56"/>
        <w:ind w:firstLine="420"/>
        <w:rPr>
          <w:rFonts w:hint="eastAsia"/>
          <w:color w:val="auto"/>
        </w:rPr>
      </w:pPr>
      <w:r>
        <w:rPr>
          <w:rFonts w:hint="eastAsia" w:ascii="宋体" w:hAnsi="宋体" w:eastAsia="宋体" w:cs="宋体"/>
          <w:b w:val="0"/>
          <w:bCs w:val="0"/>
          <w:color w:val="auto"/>
          <w:spacing w:val="-4"/>
          <w:sz w:val="21"/>
          <w:szCs w:val="21"/>
        </w:rPr>
        <w:t>GB/T</w:t>
      </w:r>
      <w:r>
        <w:rPr>
          <w:rFonts w:hint="eastAsia" w:ascii="宋体" w:hAnsi="宋体" w:eastAsia="宋体" w:cs="宋体"/>
          <w:b w:val="0"/>
          <w:bCs w:val="0"/>
          <w:color w:val="auto"/>
          <w:spacing w:val="12"/>
          <w:sz w:val="21"/>
          <w:szCs w:val="21"/>
        </w:rPr>
        <w:t xml:space="preserve"> </w:t>
      </w:r>
      <w:r>
        <w:rPr>
          <w:rFonts w:hint="eastAsia" w:ascii="宋体" w:hAnsi="宋体" w:eastAsia="宋体" w:cs="宋体"/>
          <w:b w:val="0"/>
          <w:bCs w:val="0"/>
          <w:color w:val="auto"/>
          <w:spacing w:val="-4"/>
          <w:sz w:val="21"/>
          <w:szCs w:val="21"/>
        </w:rPr>
        <w:t>8210</w:t>
      </w:r>
      <w:r>
        <w:rPr>
          <w:rFonts w:hint="eastAsia" w:ascii="宋体" w:hAnsi="宋体" w:cs="宋体"/>
          <w:b w:val="0"/>
          <w:bCs w:val="0"/>
          <w:color w:val="auto"/>
          <w:spacing w:val="-4"/>
          <w:sz w:val="21"/>
          <w:szCs w:val="21"/>
          <w:lang w:val="en-US" w:eastAsia="zh-CN"/>
        </w:rPr>
        <w:t xml:space="preserve"> 柑桔鲜果检验方法</w:t>
      </w:r>
    </w:p>
    <w:p w14:paraId="7491D3A0">
      <w:pPr>
        <w:pStyle w:val="56"/>
        <w:ind w:firstLine="420"/>
        <w:rPr>
          <w:rFonts w:hint="default"/>
          <w:color w:val="auto"/>
          <w:lang w:val="en-US"/>
        </w:rPr>
      </w:pPr>
      <w:r>
        <w:rPr>
          <w:rFonts w:hint="eastAsia"/>
          <w:color w:val="auto"/>
          <w:lang w:val="en-US" w:eastAsia="zh-CN"/>
        </w:rPr>
        <w:t>GB/</w:t>
      </w:r>
      <w:r>
        <w:rPr>
          <w:rFonts w:hint="eastAsia"/>
          <w:color w:val="auto"/>
        </w:rPr>
        <w:t>T 1</w:t>
      </w:r>
      <w:r>
        <w:rPr>
          <w:rFonts w:hint="eastAsia"/>
          <w:color w:val="auto"/>
          <w:lang w:val="en-US" w:eastAsia="zh-CN"/>
        </w:rPr>
        <w:t>2947 鲜柑橘</w:t>
      </w:r>
    </w:p>
    <w:p w14:paraId="563B655F">
      <w:pPr>
        <w:pStyle w:val="56"/>
        <w:ind w:firstLine="420"/>
        <w:rPr>
          <w:color w:val="auto"/>
        </w:rPr>
      </w:pPr>
      <w:r>
        <w:rPr>
          <w:rFonts w:hint="eastAsia"/>
          <w:color w:val="auto"/>
        </w:rPr>
        <w:t>GB/T 22000 食品安全管理体系 食品链中各类组织的要求</w:t>
      </w:r>
    </w:p>
    <w:p w14:paraId="24F68D10">
      <w:pPr>
        <w:pStyle w:val="56"/>
        <w:ind w:firstLine="420"/>
        <w:rPr>
          <w:color w:val="auto"/>
        </w:rPr>
      </w:pPr>
      <w:r>
        <w:rPr>
          <w:rFonts w:hint="eastAsia"/>
          <w:color w:val="auto"/>
        </w:rPr>
        <w:t>GB/T 24001 环境管理体系 要求及使用指南</w:t>
      </w:r>
    </w:p>
    <w:p w14:paraId="2BF3A7A7">
      <w:pPr>
        <w:pStyle w:val="56"/>
        <w:ind w:firstLine="420"/>
        <w:rPr>
          <w:color w:val="auto"/>
        </w:rPr>
      </w:pPr>
      <w:r>
        <w:rPr>
          <w:rFonts w:hint="eastAsia"/>
          <w:color w:val="auto"/>
        </w:rPr>
        <w:t>GB/T 33635 绿色制造 制造企业绿色供应链管理 导则</w:t>
      </w:r>
    </w:p>
    <w:p w14:paraId="789719D5">
      <w:pPr>
        <w:pStyle w:val="56"/>
        <w:ind w:firstLine="420"/>
        <w:rPr>
          <w:rFonts w:hint="eastAsia"/>
          <w:color w:val="auto"/>
        </w:rPr>
      </w:pPr>
      <w:r>
        <w:rPr>
          <w:rFonts w:hint="eastAsia"/>
          <w:color w:val="auto"/>
        </w:rPr>
        <w:t>GB/T 34805 农业社会化服务 农业废弃物综合利用通用要求</w:t>
      </w:r>
    </w:p>
    <w:p w14:paraId="5C308476">
      <w:pPr>
        <w:pStyle w:val="56"/>
        <w:ind w:firstLine="420"/>
        <w:rPr>
          <w:rFonts w:hint="eastAsia" w:ascii="宋体" w:hAnsi="宋体" w:eastAsia="宋体" w:cs="宋体"/>
          <w:color w:val="auto"/>
          <w:lang w:val="en-US" w:eastAsia="zh-CN"/>
        </w:rPr>
      </w:pPr>
      <w:r>
        <w:rPr>
          <w:rFonts w:hint="eastAsia" w:ascii="宋体" w:hAnsi="宋体" w:eastAsia="宋体" w:cs="宋体"/>
          <w:b w:val="0"/>
          <w:bCs w:val="0"/>
          <w:color w:val="auto"/>
          <w:spacing w:val="0"/>
          <w:sz w:val="21"/>
          <w:szCs w:val="21"/>
        </w:rPr>
        <w:t>JJF 1070</w:t>
      </w:r>
      <w:r>
        <w:rPr>
          <w:rFonts w:hint="eastAsia" w:ascii="宋体" w:hAnsi="宋体" w:eastAsia="宋体" w:cs="宋体"/>
          <w:b w:val="0"/>
          <w:bCs w:val="0"/>
          <w:color w:val="auto"/>
          <w:spacing w:val="0"/>
          <w:sz w:val="21"/>
          <w:szCs w:val="21"/>
          <w:lang w:val="en-US" w:eastAsia="zh-CN"/>
        </w:rPr>
        <w:t xml:space="preserve"> </w:t>
      </w:r>
      <w:r>
        <w:rPr>
          <w:rFonts w:hint="eastAsia" w:ascii="宋体" w:hAnsi="宋体" w:eastAsia="宋体" w:cs="宋体"/>
          <w:i w:val="0"/>
          <w:iCs w:val="0"/>
          <w:caps w:val="0"/>
          <w:color w:val="auto"/>
          <w:spacing w:val="0"/>
          <w:sz w:val="21"/>
          <w:szCs w:val="21"/>
          <w:shd w:val="clear" w:fill="FFFFFF"/>
        </w:rPr>
        <w:t>定量包装商品净含量计量检验规则（含第1号修改单）</w:t>
      </w:r>
    </w:p>
    <w:p w14:paraId="12499349">
      <w:pPr>
        <w:pStyle w:val="56"/>
        <w:ind w:firstLine="420"/>
        <w:rPr>
          <w:color w:val="auto"/>
        </w:rPr>
      </w:pPr>
      <w:r>
        <w:rPr>
          <w:rFonts w:hint="eastAsia"/>
          <w:color w:val="auto"/>
        </w:rPr>
        <w:t>NY/T 391 绿色食品 产地环境质量</w:t>
      </w:r>
    </w:p>
    <w:p w14:paraId="148876DD">
      <w:pPr>
        <w:pStyle w:val="56"/>
        <w:ind w:firstLine="420"/>
        <w:rPr>
          <w:color w:val="auto"/>
        </w:rPr>
      </w:pPr>
      <w:r>
        <w:rPr>
          <w:rFonts w:hint="eastAsia"/>
          <w:color w:val="auto"/>
        </w:rPr>
        <w:t>NY/T 393 绿色食品农药使用准则</w:t>
      </w:r>
    </w:p>
    <w:p w14:paraId="5E2F0459">
      <w:pPr>
        <w:pStyle w:val="56"/>
        <w:ind w:firstLine="420"/>
        <w:rPr>
          <w:rFonts w:hint="eastAsia"/>
          <w:color w:val="auto"/>
        </w:rPr>
      </w:pPr>
      <w:r>
        <w:rPr>
          <w:rFonts w:hint="eastAsia"/>
          <w:color w:val="auto"/>
        </w:rPr>
        <w:t>NY/T 394 绿色食品 肥料使用准则</w:t>
      </w:r>
    </w:p>
    <w:p w14:paraId="41AD10CD">
      <w:pPr>
        <w:pStyle w:val="56"/>
        <w:ind w:firstLine="420"/>
        <w:rPr>
          <w:color w:val="auto"/>
        </w:rPr>
      </w:pPr>
      <w:r>
        <w:rPr>
          <w:rFonts w:hint="eastAsia"/>
          <w:color w:val="auto"/>
        </w:rPr>
        <w:t>NY/T 496 肥料合理使用准则 通则</w:t>
      </w:r>
    </w:p>
    <w:p w14:paraId="15803CB5">
      <w:pPr>
        <w:pStyle w:val="56"/>
        <w:ind w:firstLine="420"/>
        <w:rPr>
          <w:rFonts w:hint="eastAsia"/>
          <w:color w:val="auto"/>
        </w:rPr>
      </w:pPr>
      <w:r>
        <w:rPr>
          <w:rFonts w:hint="eastAsia"/>
          <w:color w:val="auto"/>
        </w:rPr>
        <w:t>NY/T 658 绿色食品 包装通用准则</w:t>
      </w:r>
    </w:p>
    <w:p w14:paraId="56F86193">
      <w:pPr>
        <w:pStyle w:val="56"/>
        <w:ind w:firstLine="420"/>
        <w:rPr>
          <w:rFonts w:hint="eastAsia"/>
          <w:color w:val="auto"/>
        </w:rPr>
      </w:pPr>
      <w:r>
        <w:rPr>
          <w:rFonts w:hint="eastAsia"/>
          <w:color w:val="auto"/>
        </w:rPr>
        <w:t>DB36/T 1138 “江西绿色生态”品牌评价通用要求</w:t>
      </w:r>
    </w:p>
    <w:p w14:paraId="5EDB4E30">
      <w:pPr>
        <w:pStyle w:val="56"/>
        <w:ind w:firstLine="420"/>
        <w:rPr>
          <w:rFonts w:hint="default" w:eastAsia="宋体"/>
          <w:color w:val="auto"/>
          <w:lang w:val="en-US" w:eastAsia="zh-CN"/>
        </w:rPr>
      </w:pPr>
      <w:r>
        <w:rPr>
          <w:rFonts w:hint="eastAsia"/>
          <w:color w:val="auto"/>
          <w:lang w:val="en-US" w:eastAsia="zh-CN"/>
        </w:rPr>
        <w:t>DB36/T 1417 地理标志产品 会昌桔柚</w:t>
      </w:r>
    </w:p>
    <w:p w14:paraId="74549F42">
      <w:pPr>
        <w:pStyle w:val="104"/>
        <w:spacing w:before="240" w:after="240"/>
      </w:pPr>
      <w:r>
        <w:rPr>
          <w:rFonts w:hint="eastAsia"/>
          <w:szCs w:val="21"/>
        </w:rPr>
        <w:t>术语和定义</w:t>
      </w:r>
      <w:bookmarkEnd w:id="48"/>
      <w:bookmarkEnd w:id="49"/>
    </w:p>
    <w:sdt>
      <w:sdtPr>
        <w:id w:val="-1909835108"/>
        <w:placeholder>
          <w:docPart w:val="55F15F151005453EB6B19FEBD0B08BE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9BD4566">
          <w:pPr>
            <w:pStyle w:val="56"/>
            <w:ind w:firstLine="420"/>
          </w:pPr>
          <w:bookmarkStart w:id="50" w:name="_Toc26986532"/>
          <w:bookmarkEnd w:id="50"/>
          <w:r>
            <w:rPr>
              <w:rFonts w:hint="eastAsia"/>
              <w:lang w:val="en-US" w:eastAsia="zh-CN"/>
            </w:rPr>
            <w:t>GB/</w:t>
          </w:r>
          <w:r>
            <w:rPr>
              <w:rFonts w:hint="eastAsia"/>
            </w:rPr>
            <w:t>T 1</w:t>
          </w:r>
          <w:r>
            <w:rPr>
              <w:rFonts w:hint="eastAsia"/>
              <w:lang w:val="en-US" w:eastAsia="zh-CN"/>
            </w:rPr>
            <w:t>2947</w:t>
          </w:r>
          <w:r>
            <w:rPr>
              <w:rFonts w:hint="eastAsia"/>
            </w:rPr>
            <w:t>和DB36/T 1138</w:t>
          </w:r>
          <w:r>
            <w:t>界定的术语和定义适用于本文件。</w:t>
          </w:r>
        </w:p>
      </w:sdtContent>
    </w:sdt>
    <w:p w14:paraId="68EBE200">
      <w:pPr>
        <w:pStyle w:val="223"/>
        <w:rPr>
          <w:rFonts w:hint="eastAsia" w:ascii="黑体" w:hAnsi="黑体" w:eastAsia="黑体" w:cs="黑体"/>
          <w:sz w:val="21"/>
          <w:szCs w:val="21"/>
        </w:rPr>
      </w:pPr>
    </w:p>
    <w:p w14:paraId="114E7AF8">
      <w:pPr>
        <w:pStyle w:val="223"/>
        <w:numPr>
          <w:ilvl w:val="2"/>
          <w:numId w:val="0"/>
        </w:numPr>
        <w:ind w:leftChars="0" w:firstLine="420" w:firstLineChars="200"/>
      </w:pPr>
      <w:r>
        <w:rPr>
          <w:rFonts w:hint="eastAsia" w:ascii="黑体" w:hAnsi="黑体" w:eastAsia="黑体" w:cs="黑体"/>
          <w:lang w:eastAsia="zh-CN"/>
        </w:rPr>
        <w:t>会昌桔柚</w:t>
      </w:r>
      <w:r>
        <w:rPr>
          <w:rFonts w:hint="eastAsia" w:ascii="黑体" w:hAnsi="黑体" w:eastAsia="黑体" w:cs="黑体"/>
          <w:lang w:val="en-US" w:eastAsia="zh-CN"/>
        </w:rPr>
        <w:t xml:space="preserve"> Huichang </w:t>
      </w:r>
      <w:r>
        <w:rPr>
          <w:rFonts w:hint="eastAsia" w:ascii="黑体" w:hAnsi="黑体" w:eastAsia="黑体" w:cs="黑体"/>
          <w:i w:val="0"/>
          <w:iCs w:val="0"/>
          <w:caps w:val="0"/>
          <w:color w:val="333333"/>
          <w:spacing w:val="0"/>
          <w:sz w:val="21"/>
          <w:szCs w:val="21"/>
          <w:shd w:val="clear" w:fill="FFFFFF"/>
        </w:rPr>
        <w:t xml:space="preserve">Orange </w:t>
      </w:r>
      <w:r>
        <w:rPr>
          <w:rFonts w:hint="eastAsia" w:ascii="黑体" w:hAnsi="黑体" w:eastAsia="黑体" w:cs="黑体"/>
          <w:szCs w:val="28"/>
          <w:lang w:val="en-US" w:eastAsia="zh-CN"/>
        </w:rPr>
        <w:t>grapefruit</w:t>
      </w:r>
    </w:p>
    <w:p w14:paraId="7AE3FD89">
      <w:pPr>
        <w:pStyle w:val="223"/>
        <w:numPr>
          <w:ilvl w:val="2"/>
          <w:numId w:val="0"/>
        </w:numPr>
        <w:ind w:leftChars="0" w:firstLine="420" w:firstLineChars="200"/>
        <w:rPr>
          <w:color w:val="auto"/>
        </w:rPr>
      </w:pPr>
      <w:r>
        <w:rPr>
          <w:rFonts w:hint="eastAsia"/>
          <w:color w:val="auto"/>
          <w:lang w:eastAsia="zh-CN"/>
        </w:rPr>
        <w:t>会昌</w:t>
      </w:r>
      <w:r>
        <w:rPr>
          <w:rFonts w:hint="eastAsia"/>
          <w:color w:val="auto"/>
        </w:rPr>
        <w:t>当地客家人在</w:t>
      </w:r>
      <w:r>
        <w:rPr>
          <w:rFonts w:hint="eastAsia"/>
          <w:color w:val="auto"/>
          <w:lang w:eastAsia="zh-CN"/>
        </w:rPr>
        <w:t>原有</w:t>
      </w:r>
      <w:r>
        <w:rPr>
          <w:rFonts w:hint="eastAsia"/>
          <w:color w:val="auto"/>
        </w:rPr>
        <w:t>桔、柚品种基础上进行嫁接改良形成的</w:t>
      </w:r>
      <w:r>
        <w:rPr>
          <w:rFonts w:hint="eastAsia"/>
          <w:color w:val="auto"/>
          <w:lang w:eastAsia="zh-CN"/>
        </w:rPr>
        <w:t>一种特有的柑橘类水果，其</w:t>
      </w:r>
      <w:r>
        <w:rPr>
          <w:rFonts w:hint="eastAsia"/>
          <w:color w:val="auto"/>
        </w:rPr>
        <w:t>果实扁圆、外表金黄艳丽</w:t>
      </w:r>
      <w:r>
        <w:rPr>
          <w:rFonts w:hint="eastAsia"/>
          <w:color w:val="auto"/>
          <w:lang w:eastAsia="zh-CN"/>
        </w:rPr>
        <w:t>、</w:t>
      </w:r>
      <w:r>
        <w:rPr>
          <w:rFonts w:hint="eastAsia"/>
          <w:color w:val="auto"/>
        </w:rPr>
        <w:t>果汁清甜爽口、果肉细嫩化渣。</w:t>
      </w:r>
    </w:p>
    <w:p w14:paraId="237AB598">
      <w:pPr>
        <w:pStyle w:val="223"/>
        <w:rPr>
          <w:rFonts w:ascii="黑体" w:hAnsi="黑体" w:eastAsia="黑体"/>
        </w:rPr>
      </w:pPr>
    </w:p>
    <w:p w14:paraId="0CCEB76D">
      <w:pPr>
        <w:pStyle w:val="223"/>
        <w:numPr>
          <w:ilvl w:val="2"/>
          <w:numId w:val="0"/>
        </w:numPr>
        <w:ind w:leftChars="0" w:firstLine="420" w:firstLineChars="200"/>
        <w:rPr>
          <w:rFonts w:ascii="黑体" w:hAnsi="黑体" w:eastAsia="黑体"/>
        </w:rPr>
      </w:pPr>
      <w:r>
        <w:rPr>
          <w:rFonts w:hint="eastAsia" w:ascii="黑体" w:hAnsi="黑体" w:eastAsia="黑体"/>
        </w:rPr>
        <w:t xml:space="preserve">江西绿色生态 </w:t>
      </w:r>
      <w:r>
        <w:rPr>
          <w:rFonts w:hint="eastAsia" w:ascii="黑体" w:hAnsi="黑体" w:eastAsia="黑体"/>
          <w:lang w:eastAsia="zh-CN"/>
        </w:rPr>
        <w:t>会昌桔柚</w:t>
      </w:r>
      <w:r>
        <w:rPr>
          <w:rFonts w:hint="eastAsia" w:ascii="黑体" w:hAnsi="黑体" w:eastAsia="黑体" w:cs="黑体"/>
        </w:rPr>
        <w:t xml:space="preserve">jiangxi green ecology–- </w:t>
      </w:r>
      <w:r>
        <w:rPr>
          <w:rFonts w:hint="eastAsia" w:ascii="黑体" w:hAnsi="黑体" w:eastAsia="黑体" w:cs="黑体"/>
          <w:szCs w:val="28"/>
          <w:lang w:val="en-US" w:eastAsia="zh-CN"/>
        </w:rPr>
        <w:t xml:space="preserve">Huichang </w:t>
      </w:r>
      <w:r>
        <w:rPr>
          <w:rFonts w:hint="eastAsia" w:ascii="黑体" w:hAnsi="黑体" w:eastAsia="黑体" w:cs="黑体"/>
          <w:szCs w:val="28"/>
        </w:rPr>
        <w:t xml:space="preserve">Orange </w:t>
      </w:r>
      <w:r>
        <w:rPr>
          <w:rFonts w:hint="eastAsia" w:ascii="黑体" w:hAnsi="黑体" w:eastAsia="黑体" w:cs="黑体"/>
          <w:szCs w:val="28"/>
          <w:lang w:val="en-US" w:eastAsia="zh-CN"/>
        </w:rPr>
        <w:t>grapefruit</w:t>
      </w:r>
    </w:p>
    <w:p w14:paraId="7C89E9CD">
      <w:pPr>
        <w:pStyle w:val="56"/>
        <w:ind w:firstLine="420"/>
      </w:pPr>
      <w:r>
        <w:rPr>
          <w:rFonts w:hint="eastAsia"/>
        </w:rPr>
        <w:t>符合“江西绿色生态”品牌评价通用要求及本文件技术要求，并通过“江西绿色生态”品牌评价的</w:t>
      </w:r>
      <w:r>
        <w:rPr>
          <w:rFonts w:hint="eastAsia"/>
          <w:lang w:eastAsia="zh-CN"/>
        </w:rPr>
        <w:t>会昌桔柚鲜果</w:t>
      </w:r>
      <w:r>
        <w:rPr>
          <w:rFonts w:hint="eastAsia"/>
        </w:rPr>
        <w:t>。</w:t>
      </w:r>
    </w:p>
    <w:p w14:paraId="3D10F8D6">
      <w:pPr>
        <w:pStyle w:val="104"/>
        <w:spacing w:before="240" w:after="240"/>
        <w:rPr>
          <w:color w:val="auto"/>
        </w:rPr>
      </w:pPr>
      <w:r>
        <w:rPr>
          <w:rFonts w:hint="eastAsia"/>
          <w:color w:val="auto"/>
          <w:lang w:eastAsia="zh-CN"/>
        </w:rPr>
        <w:t>技术</w:t>
      </w:r>
      <w:r>
        <w:rPr>
          <w:rFonts w:hint="eastAsia"/>
          <w:color w:val="auto"/>
        </w:rPr>
        <w:t>要求</w:t>
      </w:r>
    </w:p>
    <w:p w14:paraId="6D24A7C3">
      <w:pPr>
        <w:pStyle w:val="56"/>
        <w:ind w:left="0" w:leftChars="0" w:firstLine="0" w:firstLineChars="0"/>
        <w:rPr>
          <w:rFonts w:hint="eastAsia" w:ascii="黑体" w:hAnsi="黑体" w:eastAsia="黑体" w:cs="黑体"/>
          <w:lang w:val="en-US" w:eastAsia="zh-CN"/>
        </w:rPr>
      </w:pPr>
      <w:r>
        <w:rPr>
          <w:rFonts w:hint="eastAsia" w:ascii="黑体" w:hAnsi="黑体" w:eastAsia="黑体" w:cs="黑体"/>
          <w:lang w:val="en-US" w:eastAsia="zh-CN"/>
        </w:rPr>
        <w:t>4.1  等级划分</w:t>
      </w:r>
    </w:p>
    <w:p w14:paraId="4079B816">
      <w:pPr>
        <w:pStyle w:val="56"/>
        <w:ind w:left="0" w:leftChars="0" w:firstLine="420" w:firstLineChars="200"/>
        <w:rPr>
          <w:rFonts w:hint="eastAsia" w:ascii="黑体" w:hAnsi="黑体" w:eastAsia="黑体" w:cs="黑体"/>
          <w:lang w:val="en-US" w:eastAsia="zh-CN"/>
        </w:rPr>
      </w:pPr>
    </w:p>
    <w:p w14:paraId="3988FBDE">
      <w:pPr>
        <w:pStyle w:val="56"/>
        <w:ind w:left="0" w:leftChars="0" w:firstLine="420" w:firstLineChars="200"/>
        <w:rPr>
          <w:rFonts w:hint="eastAsia"/>
        </w:rPr>
      </w:pPr>
      <w:r>
        <w:rPr>
          <w:rFonts w:hint="eastAsia"/>
          <w:lang w:eastAsia="zh-CN"/>
        </w:rPr>
        <w:t>按感官指标</w:t>
      </w:r>
      <w:r>
        <w:rPr>
          <w:b w:val="0"/>
          <w:bCs w:val="0"/>
          <w:spacing w:val="0"/>
          <w:sz w:val="21"/>
          <w:szCs w:val="21"/>
        </w:rPr>
        <w:t>及理化指标分为一级、二级</w:t>
      </w:r>
      <w:r>
        <w:rPr>
          <w:rFonts w:hint="eastAsia"/>
          <w:lang w:val="en-US" w:eastAsia="zh-CN"/>
        </w:rPr>
        <w:t>。</w:t>
      </w:r>
    </w:p>
    <w:p w14:paraId="78F727F4">
      <w:pPr>
        <w:pStyle w:val="104"/>
        <w:numPr>
          <w:ilvl w:val="1"/>
          <w:numId w:val="0"/>
        </w:numPr>
        <w:spacing w:before="240" w:after="240"/>
        <w:ind w:leftChars="0"/>
      </w:pPr>
      <w:r>
        <w:rPr>
          <w:rFonts w:hint="eastAsia"/>
          <w:lang w:val="en-US" w:eastAsia="zh-CN"/>
        </w:rPr>
        <w:t xml:space="preserve">4,2  </w:t>
      </w:r>
      <w:r>
        <w:rPr>
          <w:rFonts w:hint="eastAsia"/>
          <w:lang w:eastAsia="zh-CN"/>
        </w:rPr>
        <w:t>感官指标</w:t>
      </w:r>
    </w:p>
    <w:p w14:paraId="287A570A">
      <w:pPr>
        <w:pStyle w:val="56"/>
        <w:rPr>
          <w:rFonts w:hint="eastAsia"/>
          <w:lang w:eastAsia="zh-CN"/>
        </w:rPr>
      </w:pPr>
      <w:r>
        <w:rPr>
          <w:rFonts w:hint="eastAsia"/>
          <w:lang w:eastAsia="zh-CN"/>
        </w:rPr>
        <w:t>应符合</w:t>
      </w:r>
      <w:r>
        <w:rPr>
          <w:rFonts w:hint="eastAsia"/>
          <w:lang w:val="en-US" w:eastAsia="zh-CN"/>
        </w:rPr>
        <w:t>表1的规定</w:t>
      </w:r>
      <w:r>
        <w:rPr>
          <w:rFonts w:hint="eastAsia"/>
          <w:lang w:eastAsia="zh-CN"/>
        </w:rPr>
        <w:t>。</w:t>
      </w:r>
    </w:p>
    <w:p w14:paraId="75D126DF">
      <w:pPr>
        <w:pStyle w:val="56"/>
        <w:jc w:val="center"/>
        <w:rPr>
          <w:rFonts w:hint="eastAsia" w:ascii="黑体" w:hAnsi="黑体" w:eastAsia="黑体" w:cs="黑体"/>
          <w:lang w:val="en-US" w:eastAsia="zh-CN"/>
        </w:rPr>
      </w:pPr>
      <w:r>
        <w:rPr>
          <w:rFonts w:hint="eastAsia" w:ascii="黑体" w:hAnsi="黑体" w:eastAsia="黑体" w:cs="黑体"/>
          <w:lang w:eastAsia="zh-CN"/>
        </w:rPr>
        <w:t>表</w:t>
      </w:r>
      <w:r>
        <w:rPr>
          <w:rFonts w:hint="eastAsia" w:ascii="黑体" w:hAnsi="黑体" w:eastAsia="黑体" w:cs="黑体"/>
          <w:lang w:val="en-US" w:eastAsia="zh-CN"/>
        </w:rPr>
        <w:t>1 感官指标</w:t>
      </w:r>
    </w:p>
    <w:tbl>
      <w:tblPr>
        <w:tblStyle w:val="27"/>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9"/>
        <w:gridCol w:w="3660"/>
        <w:gridCol w:w="3465"/>
        <w:gridCol w:w="1657"/>
      </w:tblGrid>
      <w:tr w14:paraId="3F9D8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Merge w:val="restart"/>
            <w:vAlign w:val="center"/>
          </w:tcPr>
          <w:p w14:paraId="4BA8499D">
            <w:pPr>
              <w:jc w:val="center"/>
              <w:rPr>
                <w:rFonts w:hint="eastAsia" w:ascii="宋体" w:hAnsi="宋体" w:eastAsia="宋体" w:cs="宋体"/>
                <w:b w:val="0"/>
                <w:bCs w:val="0"/>
                <w:color w:val="auto"/>
                <w:spacing w:val="0"/>
                <w:sz w:val="21"/>
                <w:szCs w:val="21"/>
                <w:vertAlign w:val="baseline"/>
                <w:lang w:val="en-US" w:eastAsia="zh-CN"/>
              </w:rPr>
            </w:pPr>
            <w:r>
              <w:rPr>
                <w:rFonts w:hint="eastAsia" w:ascii="黑体" w:hAnsi="黑体" w:eastAsia="黑体" w:cs="黑体"/>
                <w:b w:val="0"/>
                <w:bCs w:val="0"/>
                <w:color w:val="auto"/>
                <w:spacing w:val="0"/>
                <w:sz w:val="21"/>
                <w:szCs w:val="21"/>
                <w:vertAlign w:val="baseline"/>
                <w:lang w:val="en-US" w:eastAsia="zh-CN"/>
              </w:rPr>
              <w:t>项目</w:t>
            </w:r>
          </w:p>
        </w:tc>
        <w:tc>
          <w:tcPr>
            <w:tcW w:w="7125" w:type="dxa"/>
            <w:gridSpan w:val="2"/>
            <w:vAlign w:val="center"/>
          </w:tcPr>
          <w:p w14:paraId="2E09B8E6">
            <w:pPr>
              <w:jc w:val="center"/>
              <w:rPr>
                <w:rFonts w:hint="eastAsia" w:ascii="宋体" w:hAnsi="宋体" w:eastAsia="宋体" w:cs="宋体"/>
                <w:b w:val="0"/>
                <w:bCs w:val="0"/>
                <w:color w:val="auto"/>
                <w:spacing w:val="0"/>
                <w:sz w:val="21"/>
                <w:szCs w:val="21"/>
                <w:vertAlign w:val="baseline"/>
                <w:lang w:val="en-US" w:eastAsia="zh-CN"/>
              </w:rPr>
            </w:pPr>
            <w:r>
              <w:rPr>
                <w:rFonts w:hint="eastAsia" w:ascii="黑体" w:hAnsi="黑体" w:eastAsia="黑体" w:cs="黑体"/>
                <w:b w:val="0"/>
                <w:bCs w:val="0"/>
                <w:color w:val="auto"/>
                <w:spacing w:val="0"/>
                <w:sz w:val="21"/>
                <w:szCs w:val="21"/>
                <w:vertAlign w:val="baseline"/>
                <w:lang w:val="en-US" w:eastAsia="zh-CN"/>
              </w:rPr>
              <w:t>要求</w:t>
            </w:r>
          </w:p>
        </w:tc>
        <w:tc>
          <w:tcPr>
            <w:tcW w:w="1657" w:type="dxa"/>
            <w:vMerge w:val="restart"/>
            <w:vAlign w:val="center"/>
          </w:tcPr>
          <w:p w14:paraId="3A91ABE8">
            <w:pPr>
              <w:jc w:val="center"/>
              <w:rPr>
                <w:rFonts w:hint="eastAsia" w:ascii="宋体" w:hAnsi="宋体" w:eastAsia="宋体" w:cs="宋体"/>
                <w:b w:val="0"/>
                <w:bCs w:val="0"/>
                <w:color w:val="auto"/>
                <w:spacing w:val="0"/>
                <w:sz w:val="21"/>
                <w:szCs w:val="21"/>
                <w:vertAlign w:val="baseline"/>
                <w:lang w:val="en-US" w:eastAsia="zh-CN"/>
              </w:rPr>
            </w:pPr>
            <w:r>
              <w:rPr>
                <w:rFonts w:hint="eastAsia" w:ascii="黑体" w:hAnsi="黑体" w:eastAsia="黑体" w:cs="黑体"/>
                <w:b w:val="0"/>
                <w:bCs w:val="0"/>
                <w:color w:val="auto"/>
                <w:spacing w:val="0"/>
                <w:sz w:val="21"/>
                <w:szCs w:val="21"/>
                <w:vertAlign w:val="baseline"/>
                <w:lang w:val="en-US" w:eastAsia="zh-CN"/>
              </w:rPr>
              <w:t>检验方法</w:t>
            </w:r>
          </w:p>
        </w:tc>
      </w:tr>
      <w:tr w14:paraId="62670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Merge w:val="continue"/>
            <w:vAlign w:val="center"/>
          </w:tcPr>
          <w:p w14:paraId="0157A1F1">
            <w:pPr>
              <w:jc w:val="center"/>
              <w:rPr>
                <w:rFonts w:hint="eastAsia" w:ascii="宋体" w:hAnsi="宋体" w:eastAsia="宋体" w:cs="宋体"/>
                <w:b w:val="0"/>
                <w:bCs w:val="0"/>
                <w:color w:val="auto"/>
                <w:spacing w:val="0"/>
                <w:sz w:val="21"/>
                <w:szCs w:val="21"/>
                <w:vertAlign w:val="baseline"/>
                <w:lang w:val="en-US" w:eastAsia="zh-CN"/>
              </w:rPr>
            </w:pPr>
          </w:p>
        </w:tc>
        <w:tc>
          <w:tcPr>
            <w:tcW w:w="3660" w:type="dxa"/>
            <w:vAlign w:val="center"/>
          </w:tcPr>
          <w:p w14:paraId="04231A6B">
            <w:pPr>
              <w:jc w:val="center"/>
              <w:rPr>
                <w:rFonts w:hint="eastAsia" w:ascii="宋体" w:hAnsi="宋体" w:eastAsia="宋体" w:cs="宋体"/>
                <w:b w:val="0"/>
                <w:bCs w:val="0"/>
                <w:color w:val="auto"/>
                <w:spacing w:val="0"/>
                <w:sz w:val="21"/>
                <w:szCs w:val="21"/>
                <w:vertAlign w:val="baseline"/>
                <w:lang w:val="en-US" w:eastAsia="zh-CN"/>
              </w:rPr>
            </w:pPr>
            <w:r>
              <w:rPr>
                <w:rFonts w:hint="eastAsia" w:ascii="宋体" w:hAnsi="宋体" w:eastAsia="宋体" w:cs="宋体"/>
                <w:b w:val="0"/>
                <w:bCs w:val="0"/>
                <w:color w:val="auto"/>
                <w:spacing w:val="0"/>
                <w:sz w:val="21"/>
                <w:szCs w:val="21"/>
                <w:vertAlign w:val="baseline"/>
                <w:lang w:val="en-US" w:eastAsia="zh-CN"/>
              </w:rPr>
              <w:t>一级</w:t>
            </w:r>
          </w:p>
        </w:tc>
        <w:tc>
          <w:tcPr>
            <w:tcW w:w="3465" w:type="dxa"/>
            <w:vAlign w:val="center"/>
          </w:tcPr>
          <w:p w14:paraId="256FBEB2">
            <w:pPr>
              <w:jc w:val="center"/>
              <w:rPr>
                <w:rFonts w:hint="eastAsia" w:ascii="宋体" w:hAnsi="宋体" w:eastAsia="宋体" w:cs="宋体"/>
                <w:b w:val="0"/>
                <w:bCs w:val="0"/>
                <w:color w:val="auto"/>
                <w:spacing w:val="0"/>
                <w:sz w:val="21"/>
                <w:szCs w:val="21"/>
                <w:vertAlign w:val="baseline"/>
                <w:lang w:val="en-US" w:eastAsia="zh-CN"/>
              </w:rPr>
            </w:pPr>
            <w:r>
              <w:rPr>
                <w:rFonts w:hint="eastAsia" w:ascii="宋体" w:hAnsi="宋体" w:eastAsia="宋体" w:cs="宋体"/>
                <w:b w:val="0"/>
                <w:bCs w:val="0"/>
                <w:color w:val="auto"/>
                <w:spacing w:val="0"/>
                <w:sz w:val="21"/>
                <w:szCs w:val="21"/>
                <w:vertAlign w:val="baseline"/>
                <w:lang w:val="en-US" w:eastAsia="zh-CN"/>
              </w:rPr>
              <w:t>二级</w:t>
            </w:r>
          </w:p>
        </w:tc>
        <w:tc>
          <w:tcPr>
            <w:tcW w:w="1657" w:type="dxa"/>
            <w:vMerge w:val="continue"/>
            <w:vAlign w:val="center"/>
          </w:tcPr>
          <w:p w14:paraId="7E739A64">
            <w:pPr>
              <w:jc w:val="center"/>
              <w:rPr>
                <w:rFonts w:hint="eastAsia" w:ascii="宋体" w:hAnsi="宋体" w:eastAsia="宋体" w:cs="宋体"/>
                <w:b w:val="0"/>
                <w:bCs w:val="0"/>
                <w:color w:val="auto"/>
                <w:spacing w:val="0"/>
                <w:sz w:val="21"/>
                <w:szCs w:val="21"/>
                <w:vertAlign w:val="baseline"/>
                <w:lang w:val="en-US" w:eastAsia="zh-CN"/>
              </w:rPr>
            </w:pPr>
          </w:p>
        </w:tc>
      </w:tr>
      <w:tr w14:paraId="50ED7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Align w:val="center"/>
          </w:tcPr>
          <w:p w14:paraId="56981530">
            <w:pPr>
              <w:jc w:val="center"/>
              <w:rPr>
                <w:rFonts w:hint="eastAsia" w:ascii="宋体" w:hAnsi="宋体" w:eastAsia="宋体" w:cs="宋体"/>
                <w:b w:val="0"/>
                <w:bCs w:val="0"/>
                <w:color w:val="auto"/>
                <w:spacing w:val="0"/>
                <w:sz w:val="21"/>
                <w:szCs w:val="21"/>
                <w:vertAlign w:val="baseline"/>
                <w:lang w:val="en-US" w:eastAsia="zh-CN"/>
              </w:rPr>
            </w:pPr>
            <w:r>
              <w:rPr>
                <w:rFonts w:hint="eastAsia" w:ascii="宋体" w:hAnsi="宋体" w:eastAsia="宋体" w:cs="宋体"/>
                <w:b w:val="0"/>
                <w:bCs w:val="0"/>
                <w:color w:val="auto"/>
                <w:spacing w:val="0"/>
                <w:sz w:val="21"/>
                <w:szCs w:val="21"/>
                <w:vertAlign w:val="baseline"/>
                <w:lang w:val="en-US" w:eastAsia="zh-CN"/>
              </w:rPr>
              <w:t>果形</w:t>
            </w:r>
          </w:p>
        </w:tc>
        <w:tc>
          <w:tcPr>
            <w:tcW w:w="7125" w:type="dxa"/>
            <w:gridSpan w:val="2"/>
            <w:vAlign w:val="center"/>
          </w:tcPr>
          <w:p w14:paraId="59D847DF">
            <w:pPr>
              <w:jc w:val="center"/>
              <w:rPr>
                <w:rFonts w:hint="eastAsia" w:ascii="宋体" w:hAnsi="宋体" w:eastAsia="宋体" w:cs="宋体"/>
                <w:b w:val="0"/>
                <w:bCs w:val="0"/>
                <w:color w:val="auto"/>
                <w:spacing w:val="0"/>
                <w:sz w:val="21"/>
                <w:szCs w:val="21"/>
                <w:vertAlign w:val="baseline"/>
                <w:lang w:val="en-US" w:eastAsia="zh-CN"/>
              </w:rPr>
            </w:pPr>
            <w:r>
              <w:rPr>
                <w:rFonts w:hint="eastAsia" w:ascii="宋体" w:hAnsi="宋体" w:eastAsia="宋体" w:cs="宋体"/>
                <w:b w:val="0"/>
                <w:bCs w:val="0"/>
                <w:spacing w:val="0"/>
                <w:sz w:val="21"/>
                <w:szCs w:val="21"/>
              </w:rPr>
              <w:t>呈扁圆球形或圆球形，果梗部可略呈荸荠形</w:t>
            </w:r>
          </w:p>
        </w:tc>
        <w:tc>
          <w:tcPr>
            <w:tcW w:w="1657" w:type="dxa"/>
            <w:vMerge w:val="restart"/>
            <w:vAlign w:val="center"/>
          </w:tcPr>
          <w:p w14:paraId="3E4A2F97">
            <w:pPr>
              <w:jc w:val="center"/>
              <w:rPr>
                <w:rFonts w:hint="eastAsia" w:ascii="宋体" w:hAnsi="宋体" w:eastAsia="宋体" w:cs="宋体"/>
                <w:b w:val="0"/>
                <w:bCs w:val="0"/>
                <w:spacing w:val="-4"/>
                <w:sz w:val="21"/>
                <w:szCs w:val="21"/>
              </w:rPr>
            </w:pPr>
            <w:r>
              <w:rPr>
                <w:rFonts w:hint="eastAsia" w:ascii="宋体" w:hAnsi="宋体" w:eastAsia="宋体" w:cs="宋体"/>
                <w:b w:val="0"/>
                <w:bCs w:val="0"/>
                <w:spacing w:val="-4"/>
                <w:sz w:val="21"/>
                <w:szCs w:val="21"/>
              </w:rPr>
              <w:t>GB/T</w:t>
            </w:r>
            <w:r>
              <w:rPr>
                <w:rFonts w:hint="eastAsia" w:ascii="宋体" w:hAnsi="宋体" w:eastAsia="宋体" w:cs="宋体"/>
                <w:b w:val="0"/>
                <w:bCs w:val="0"/>
                <w:spacing w:val="12"/>
                <w:sz w:val="21"/>
                <w:szCs w:val="21"/>
              </w:rPr>
              <w:t xml:space="preserve"> </w:t>
            </w:r>
            <w:r>
              <w:rPr>
                <w:rFonts w:hint="eastAsia" w:ascii="宋体" w:hAnsi="宋体" w:eastAsia="宋体" w:cs="宋体"/>
                <w:b w:val="0"/>
                <w:bCs w:val="0"/>
                <w:spacing w:val="-4"/>
                <w:sz w:val="21"/>
                <w:szCs w:val="21"/>
              </w:rPr>
              <w:t>8210</w:t>
            </w:r>
          </w:p>
          <w:p w14:paraId="4CFCA175">
            <w:pPr>
              <w:spacing w:line="306" w:lineRule="auto"/>
              <w:rPr>
                <w:rFonts w:hint="eastAsia" w:ascii="宋体" w:hAnsi="宋体" w:eastAsia="宋体" w:cs="宋体"/>
                <w:b w:val="0"/>
                <w:bCs w:val="0"/>
                <w:sz w:val="21"/>
                <w:szCs w:val="21"/>
              </w:rPr>
            </w:pPr>
          </w:p>
          <w:p w14:paraId="77F57870">
            <w:pPr>
              <w:pStyle w:val="230"/>
              <w:spacing w:before="59" w:line="224" w:lineRule="auto"/>
              <w:rPr>
                <w:rFonts w:hint="eastAsia" w:ascii="宋体" w:hAnsi="宋体" w:eastAsia="宋体" w:cs="宋体"/>
                <w:b w:val="0"/>
                <w:bCs w:val="0"/>
                <w:kern w:val="2"/>
                <w:sz w:val="21"/>
                <w:szCs w:val="21"/>
                <w:lang w:val="en-US" w:eastAsia="zh-CN" w:bidi="ar-SA"/>
              </w:rPr>
            </w:pPr>
          </w:p>
        </w:tc>
      </w:tr>
      <w:tr w14:paraId="037CC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Align w:val="center"/>
          </w:tcPr>
          <w:p w14:paraId="50768DF4">
            <w:pPr>
              <w:jc w:val="center"/>
              <w:rPr>
                <w:rFonts w:hint="eastAsia" w:ascii="宋体" w:hAnsi="宋体" w:eastAsia="宋体" w:cs="宋体"/>
                <w:b w:val="0"/>
                <w:bCs w:val="0"/>
                <w:color w:val="auto"/>
                <w:spacing w:val="0"/>
                <w:sz w:val="21"/>
                <w:szCs w:val="21"/>
                <w:vertAlign w:val="baseline"/>
                <w:lang w:val="en-US" w:eastAsia="zh-CN"/>
              </w:rPr>
            </w:pPr>
            <w:r>
              <w:rPr>
                <w:rFonts w:hint="eastAsia" w:ascii="宋体" w:hAnsi="宋体" w:eastAsia="宋体" w:cs="宋体"/>
                <w:b w:val="0"/>
                <w:bCs w:val="0"/>
                <w:color w:val="auto"/>
                <w:spacing w:val="0"/>
                <w:sz w:val="21"/>
                <w:szCs w:val="21"/>
                <w:vertAlign w:val="baseline"/>
                <w:lang w:val="en-US" w:eastAsia="zh-CN"/>
              </w:rPr>
              <w:t>果面</w:t>
            </w:r>
          </w:p>
        </w:tc>
        <w:tc>
          <w:tcPr>
            <w:tcW w:w="3660" w:type="dxa"/>
            <w:shd w:val="clear" w:color="auto" w:fill="auto"/>
            <w:vAlign w:val="top"/>
          </w:tcPr>
          <w:p w14:paraId="162896FD">
            <w:pPr>
              <w:pStyle w:val="230"/>
              <w:spacing w:before="59" w:line="219" w:lineRule="auto"/>
              <w:ind w:left="543" w:leftChars="0"/>
              <w:rPr>
                <w:rFonts w:hint="eastAsia" w:ascii="宋体" w:hAnsi="宋体" w:eastAsia="宋体" w:cs="宋体"/>
                <w:b w:val="0"/>
                <w:bCs w:val="0"/>
                <w:spacing w:val="0"/>
                <w:kern w:val="2"/>
                <w:sz w:val="21"/>
                <w:szCs w:val="21"/>
                <w:lang w:val="en-US" w:eastAsia="zh-CN" w:bidi="ar-SA"/>
              </w:rPr>
            </w:pPr>
            <w:r>
              <w:rPr>
                <w:rFonts w:hint="eastAsia" w:ascii="宋体" w:hAnsi="宋体" w:eastAsia="宋体" w:cs="宋体"/>
                <w:b w:val="0"/>
                <w:bCs w:val="0"/>
                <w:spacing w:val="0"/>
                <w:sz w:val="21"/>
                <w:szCs w:val="21"/>
              </w:rPr>
              <w:t>新鲜光洁发亮，油胞细腻</w:t>
            </w:r>
          </w:p>
        </w:tc>
        <w:tc>
          <w:tcPr>
            <w:tcW w:w="3465" w:type="dxa"/>
            <w:shd w:val="clear" w:color="auto" w:fill="auto"/>
            <w:vAlign w:val="top"/>
          </w:tcPr>
          <w:p w14:paraId="4A4C1CDD">
            <w:pPr>
              <w:pStyle w:val="230"/>
              <w:spacing w:before="59" w:line="219" w:lineRule="auto"/>
              <w:ind w:left="739" w:leftChars="0"/>
              <w:rPr>
                <w:rFonts w:hint="eastAsia" w:ascii="宋体" w:hAnsi="宋体" w:eastAsia="宋体" w:cs="宋体"/>
                <w:b w:val="0"/>
                <w:bCs w:val="0"/>
                <w:spacing w:val="0"/>
                <w:kern w:val="2"/>
                <w:sz w:val="21"/>
                <w:szCs w:val="21"/>
                <w:lang w:val="en-US" w:eastAsia="zh-CN" w:bidi="ar-SA"/>
              </w:rPr>
            </w:pPr>
            <w:r>
              <w:rPr>
                <w:rFonts w:hint="eastAsia" w:ascii="宋体" w:hAnsi="宋体" w:eastAsia="宋体" w:cs="宋体"/>
                <w:b w:val="0"/>
                <w:bCs w:val="0"/>
                <w:spacing w:val="0"/>
                <w:sz w:val="21"/>
                <w:szCs w:val="21"/>
              </w:rPr>
              <w:t>光洁，油胞较粗大</w:t>
            </w:r>
          </w:p>
        </w:tc>
        <w:tc>
          <w:tcPr>
            <w:tcW w:w="1657" w:type="dxa"/>
            <w:vMerge w:val="continue"/>
          </w:tcPr>
          <w:p w14:paraId="2B1A6833">
            <w:pPr>
              <w:rPr>
                <w:rFonts w:hint="eastAsia" w:ascii="宋体" w:hAnsi="宋体" w:eastAsia="宋体" w:cs="宋体"/>
                <w:b w:val="0"/>
                <w:bCs w:val="0"/>
                <w:color w:val="auto"/>
                <w:spacing w:val="0"/>
                <w:sz w:val="21"/>
                <w:szCs w:val="21"/>
                <w:vertAlign w:val="baseline"/>
                <w:lang w:val="en-US" w:eastAsia="zh-CN"/>
              </w:rPr>
            </w:pPr>
          </w:p>
        </w:tc>
      </w:tr>
      <w:tr w14:paraId="29E23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Align w:val="center"/>
          </w:tcPr>
          <w:p w14:paraId="0C1840DC">
            <w:pPr>
              <w:jc w:val="center"/>
              <w:rPr>
                <w:rFonts w:hint="eastAsia" w:ascii="宋体" w:hAnsi="宋体" w:eastAsia="宋体" w:cs="宋体"/>
                <w:b w:val="0"/>
                <w:bCs w:val="0"/>
                <w:color w:val="auto"/>
                <w:spacing w:val="0"/>
                <w:sz w:val="21"/>
                <w:szCs w:val="21"/>
                <w:vertAlign w:val="baseline"/>
                <w:lang w:val="en-US" w:eastAsia="zh-CN"/>
              </w:rPr>
            </w:pPr>
            <w:r>
              <w:rPr>
                <w:rFonts w:hint="eastAsia" w:ascii="宋体" w:hAnsi="宋体" w:eastAsia="宋体" w:cs="宋体"/>
                <w:b w:val="0"/>
                <w:bCs w:val="0"/>
                <w:color w:val="auto"/>
                <w:spacing w:val="0"/>
                <w:sz w:val="21"/>
                <w:szCs w:val="21"/>
                <w:vertAlign w:val="baseline"/>
                <w:lang w:val="en-US" w:eastAsia="zh-CN"/>
              </w:rPr>
              <w:t>果肉</w:t>
            </w:r>
          </w:p>
        </w:tc>
        <w:tc>
          <w:tcPr>
            <w:tcW w:w="7125" w:type="dxa"/>
            <w:gridSpan w:val="2"/>
            <w:vAlign w:val="center"/>
          </w:tcPr>
          <w:p w14:paraId="1CD55F7E">
            <w:pPr>
              <w:jc w:val="center"/>
              <w:rPr>
                <w:rFonts w:hint="eastAsia" w:ascii="宋体" w:hAnsi="宋体" w:eastAsia="宋体" w:cs="宋体"/>
                <w:b w:val="0"/>
                <w:bCs w:val="0"/>
                <w:color w:val="auto"/>
                <w:spacing w:val="0"/>
                <w:sz w:val="21"/>
                <w:szCs w:val="21"/>
                <w:vertAlign w:val="baseline"/>
                <w:lang w:val="en-US" w:eastAsia="zh-CN"/>
              </w:rPr>
            </w:pPr>
            <w:r>
              <w:rPr>
                <w:rFonts w:hint="eastAsia" w:ascii="宋体" w:hAnsi="宋体" w:eastAsia="宋体" w:cs="宋体"/>
                <w:b w:val="0"/>
                <w:bCs w:val="0"/>
                <w:spacing w:val="0"/>
                <w:sz w:val="21"/>
                <w:szCs w:val="21"/>
              </w:rPr>
              <w:t>橙黄色，肉质细嫩，清甜爽口、汁多化渣</w:t>
            </w:r>
          </w:p>
        </w:tc>
        <w:tc>
          <w:tcPr>
            <w:tcW w:w="1657" w:type="dxa"/>
            <w:vMerge w:val="continue"/>
          </w:tcPr>
          <w:p w14:paraId="29D3458D">
            <w:pPr>
              <w:rPr>
                <w:rFonts w:hint="eastAsia" w:ascii="宋体" w:hAnsi="宋体" w:eastAsia="宋体" w:cs="宋体"/>
                <w:b w:val="0"/>
                <w:bCs w:val="0"/>
                <w:color w:val="auto"/>
                <w:spacing w:val="0"/>
                <w:sz w:val="21"/>
                <w:szCs w:val="21"/>
                <w:vertAlign w:val="baseline"/>
                <w:lang w:val="en-US" w:eastAsia="zh-CN"/>
              </w:rPr>
            </w:pPr>
          </w:p>
        </w:tc>
      </w:tr>
      <w:tr w14:paraId="03D5D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Align w:val="center"/>
          </w:tcPr>
          <w:p w14:paraId="6462C462">
            <w:pPr>
              <w:jc w:val="center"/>
              <w:rPr>
                <w:rFonts w:hint="eastAsia" w:ascii="宋体" w:hAnsi="宋体" w:eastAsia="宋体" w:cs="宋体"/>
                <w:b w:val="0"/>
                <w:bCs w:val="0"/>
                <w:color w:val="auto"/>
                <w:spacing w:val="0"/>
                <w:sz w:val="21"/>
                <w:szCs w:val="21"/>
                <w:vertAlign w:val="baseline"/>
                <w:lang w:val="en-US" w:eastAsia="zh-CN"/>
              </w:rPr>
            </w:pPr>
            <w:r>
              <w:rPr>
                <w:rFonts w:hint="eastAsia" w:ascii="宋体" w:hAnsi="宋体" w:eastAsia="宋体" w:cs="宋体"/>
                <w:b w:val="0"/>
                <w:bCs w:val="0"/>
                <w:color w:val="auto"/>
                <w:spacing w:val="0"/>
                <w:sz w:val="21"/>
                <w:szCs w:val="21"/>
                <w:vertAlign w:val="baseline"/>
                <w:lang w:val="en-US" w:eastAsia="zh-CN"/>
              </w:rPr>
              <w:t>色泽</w:t>
            </w:r>
          </w:p>
        </w:tc>
        <w:tc>
          <w:tcPr>
            <w:tcW w:w="3660" w:type="dxa"/>
            <w:shd w:val="clear" w:color="auto" w:fill="auto"/>
            <w:vAlign w:val="top"/>
          </w:tcPr>
          <w:p w14:paraId="3C514F88">
            <w:pPr>
              <w:pStyle w:val="230"/>
              <w:spacing w:before="72" w:line="219" w:lineRule="auto"/>
              <w:rPr>
                <w:rFonts w:hint="eastAsia" w:ascii="宋体" w:hAnsi="宋体" w:eastAsia="宋体" w:cs="宋体"/>
                <w:b w:val="0"/>
                <w:bCs w:val="0"/>
                <w:spacing w:val="0"/>
                <w:kern w:val="2"/>
                <w:sz w:val="21"/>
                <w:szCs w:val="21"/>
                <w:lang w:val="en-US" w:eastAsia="zh-CN" w:bidi="ar-SA"/>
              </w:rPr>
            </w:pPr>
            <w:r>
              <w:rPr>
                <w:rFonts w:hint="eastAsia" w:ascii="宋体" w:hAnsi="宋体" w:eastAsia="宋体" w:cs="宋体"/>
                <w:b w:val="0"/>
                <w:bCs w:val="0"/>
                <w:spacing w:val="0"/>
                <w:sz w:val="21"/>
                <w:szCs w:val="21"/>
              </w:rPr>
              <w:t>金黄色，色泽均匀，着色率90%以上</w:t>
            </w:r>
          </w:p>
        </w:tc>
        <w:tc>
          <w:tcPr>
            <w:tcW w:w="3465" w:type="dxa"/>
            <w:shd w:val="clear" w:color="auto" w:fill="auto"/>
            <w:vAlign w:val="top"/>
          </w:tcPr>
          <w:p w14:paraId="17F59300">
            <w:pPr>
              <w:pStyle w:val="230"/>
              <w:spacing w:before="72" w:line="219" w:lineRule="auto"/>
              <w:rPr>
                <w:rFonts w:hint="eastAsia" w:ascii="宋体" w:hAnsi="宋体" w:eastAsia="宋体" w:cs="宋体"/>
                <w:b w:val="0"/>
                <w:bCs w:val="0"/>
                <w:spacing w:val="0"/>
                <w:kern w:val="2"/>
                <w:sz w:val="21"/>
                <w:szCs w:val="21"/>
                <w:lang w:val="en-US" w:eastAsia="zh-CN" w:bidi="ar-SA"/>
              </w:rPr>
            </w:pPr>
            <w:r>
              <w:rPr>
                <w:rFonts w:hint="eastAsia" w:ascii="宋体" w:hAnsi="宋体" w:eastAsia="宋体" w:cs="宋体"/>
                <w:b w:val="0"/>
                <w:bCs w:val="0"/>
                <w:spacing w:val="0"/>
                <w:sz w:val="21"/>
                <w:szCs w:val="21"/>
              </w:rPr>
              <w:drawing>
                <wp:anchor distT="0" distB="0" distL="0" distR="0" simplePos="0" relativeHeight="251661312" behindDoc="0" locked="0" layoutInCell="1" allowOverlap="1">
                  <wp:simplePos x="0" y="0"/>
                  <wp:positionH relativeFrom="rightMargin">
                    <wp:posOffset>4445</wp:posOffset>
                  </wp:positionH>
                  <wp:positionV relativeFrom="topMargin">
                    <wp:posOffset>5080</wp:posOffset>
                  </wp:positionV>
                  <wp:extent cx="6350" cy="199390"/>
                  <wp:effectExtent l="0" t="0" r="12700" b="10160"/>
                  <wp:wrapNone/>
                  <wp:docPr id="16" name="IM 14"/>
                  <wp:cNvGraphicFramePr/>
                  <a:graphic xmlns:a="http://schemas.openxmlformats.org/drawingml/2006/main">
                    <a:graphicData uri="http://schemas.openxmlformats.org/drawingml/2006/picture">
                      <pic:pic xmlns:pic="http://schemas.openxmlformats.org/drawingml/2006/picture">
                        <pic:nvPicPr>
                          <pic:cNvPr id="16" name="IM 14"/>
                          <pic:cNvPicPr/>
                        </pic:nvPicPr>
                        <pic:blipFill>
                          <a:blip r:embed="rId15"/>
                          <a:stretch>
                            <a:fillRect/>
                          </a:stretch>
                        </pic:blipFill>
                        <pic:spPr>
                          <a:xfrm>
                            <a:off x="0" y="0"/>
                            <a:ext cx="6350" cy="199644"/>
                          </a:xfrm>
                          <a:prstGeom prst="rect">
                            <a:avLst/>
                          </a:prstGeom>
                        </pic:spPr>
                      </pic:pic>
                    </a:graphicData>
                  </a:graphic>
                </wp:anchor>
              </w:drawing>
            </w:r>
            <w:r>
              <w:rPr>
                <w:rFonts w:hint="eastAsia" w:ascii="宋体" w:hAnsi="宋体" w:eastAsia="宋体" w:cs="宋体"/>
                <w:b w:val="0"/>
                <w:bCs w:val="0"/>
                <w:spacing w:val="0"/>
                <w:sz w:val="21"/>
                <w:szCs w:val="21"/>
              </w:rPr>
              <w:t>金黄色，色泽均匀，着色率80%</w:t>
            </w:r>
            <w:r>
              <w:rPr>
                <w:rFonts w:hint="eastAsia" w:cs="宋体"/>
                <w:b w:val="0"/>
                <w:bCs w:val="0"/>
                <w:spacing w:val="0"/>
                <w:sz w:val="21"/>
                <w:szCs w:val="21"/>
                <w:lang w:eastAsia="zh-CN"/>
              </w:rPr>
              <w:t>以</w:t>
            </w:r>
            <w:r>
              <w:rPr>
                <w:rFonts w:hint="eastAsia" w:ascii="宋体" w:hAnsi="宋体" w:eastAsia="宋体" w:cs="宋体"/>
                <w:b w:val="0"/>
                <w:bCs w:val="0"/>
                <w:spacing w:val="0"/>
                <w:sz w:val="21"/>
                <w:szCs w:val="21"/>
              </w:rPr>
              <w:t>上</w:t>
            </w:r>
          </w:p>
        </w:tc>
        <w:tc>
          <w:tcPr>
            <w:tcW w:w="1657" w:type="dxa"/>
            <w:vMerge w:val="continue"/>
          </w:tcPr>
          <w:p w14:paraId="5BA9D1CB">
            <w:pPr>
              <w:rPr>
                <w:rFonts w:hint="eastAsia" w:ascii="宋体" w:hAnsi="宋体" w:eastAsia="宋体" w:cs="宋体"/>
                <w:b w:val="0"/>
                <w:bCs w:val="0"/>
                <w:color w:val="auto"/>
                <w:spacing w:val="0"/>
                <w:sz w:val="21"/>
                <w:szCs w:val="21"/>
                <w:vertAlign w:val="baseline"/>
                <w:lang w:val="en-US" w:eastAsia="zh-CN"/>
              </w:rPr>
            </w:pPr>
          </w:p>
        </w:tc>
      </w:tr>
      <w:tr w14:paraId="0D745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shd w:val="clear" w:color="auto" w:fill="auto"/>
            <w:vAlign w:val="top"/>
          </w:tcPr>
          <w:p w14:paraId="5A4112D4">
            <w:pPr>
              <w:spacing w:line="306" w:lineRule="auto"/>
              <w:jc w:val="center"/>
              <w:rPr>
                <w:rFonts w:hint="eastAsia" w:ascii="宋体" w:hAnsi="宋体" w:eastAsia="宋体" w:cs="宋体"/>
                <w:b w:val="0"/>
                <w:bCs w:val="0"/>
                <w:sz w:val="21"/>
                <w:szCs w:val="21"/>
              </w:rPr>
            </w:pPr>
          </w:p>
          <w:p w14:paraId="09007A79">
            <w:pPr>
              <w:spacing w:line="306" w:lineRule="auto"/>
              <w:jc w:val="center"/>
              <w:rPr>
                <w:rFonts w:hint="eastAsia" w:ascii="宋体" w:hAnsi="宋体" w:eastAsia="宋体" w:cs="宋体"/>
                <w:b w:val="0"/>
                <w:bCs w:val="0"/>
                <w:sz w:val="21"/>
                <w:szCs w:val="21"/>
              </w:rPr>
            </w:pPr>
          </w:p>
          <w:p w14:paraId="4E8DCD28">
            <w:pPr>
              <w:pStyle w:val="230"/>
              <w:spacing w:before="59" w:line="220" w:lineRule="auto"/>
              <w:jc w:val="center"/>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pacing w:val="-6"/>
                <w:sz w:val="21"/>
                <w:szCs w:val="21"/>
              </w:rPr>
              <w:t>洁净度</w:t>
            </w:r>
          </w:p>
        </w:tc>
        <w:tc>
          <w:tcPr>
            <w:tcW w:w="3660" w:type="dxa"/>
            <w:shd w:val="clear" w:color="auto" w:fill="auto"/>
            <w:vAlign w:val="top"/>
          </w:tcPr>
          <w:p w14:paraId="0C0B6D8F">
            <w:pPr>
              <w:pStyle w:val="230"/>
              <w:spacing w:before="52" w:line="240" w:lineRule="auto"/>
              <w:ind w:left="96" w:leftChars="0" w:right="98" w:rightChars="0" w:firstLine="3" w:firstLineChars="0"/>
              <w:rPr>
                <w:rFonts w:hint="eastAsia" w:ascii="宋体" w:hAnsi="宋体" w:eastAsia="宋体" w:cs="宋体"/>
                <w:b w:val="0"/>
                <w:bCs w:val="0"/>
                <w:kern w:val="2"/>
                <w:sz w:val="21"/>
                <w:szCs w:val="21"/>
                <w:lang w:val="en-US" w:eastAsia="en-US" w:bidi="ar-SA"/>
              </w:rPr>
            </w:pPr>
            <w:r>
              <w:rPr>
                <w:rFonts w:hint="eastAsia" w:ascii="宋体" w:hAnsi="宋体" w:eastAsia="宋体" w:cs="宋体"/>
                <w:b w:val="0"/>
                <w:bCs w:val="0"/>
                <w:spacing w:val="-3"/>
                <w:sz w:val="21"/>
                <w:szCs w:val="21"/>
              </w:rPr>
              <w:t>果面光洁，无日灼、伤疤、裂口、刺</w:t>
            </w:r>
            <w:r>
              <w:rPr>
                <w:rFonts w:hint="eastAsia" w:ascii="宋体" w:hAnsi="宋体" w:eastAsia="宋体" w:cs="宋体"/>
                <w:b w:val="0"/>
                <w:bCs w:val="0"/>
                <w:spacing w:val="6"/>
                <w:sz w:val="21"/>
                <w:szCs w:val="21"/>
              </w:rPr>
              <w:t xml:space="preserve"> </w:t>
            </w:r>
            <w:r>
              <w:rPr>
                <w:rFonts w:hint="eastAsia" w:ascii="宋体" w:hAnsi="宋体" w:eastAsia="宋体" w:cs="宋体"/>
                <w:b w:val="0"/>
                <w:bCs w:val="0"/>
                <w:spacing w:val="-3"/>
                <w:sz w:val="21"/>
                <w:szCs w:val="21"/>
              </w:rPr>
              <w:t>伤、虫伤、擦伤、碰压伤及腐烂果，不得有检疫性病虫果，单果油斑、药</w:t>
            </w:r>
            <w:r>
              <w:rPr>
                <w:rFonts w:hint="eastAsia" w:ascii="宋体" w:hAnsi="宋体" w:eastAsia="宋体" w:cs="宋体"/>
                <w:b w:val="0"/>
                <w:bCs w:val="0"/>
                <w:spacing w:val="-8"/>
                <w:sz w:val="21"/>
                <w:szCs w:val="21"/>
              </w:rPr>
              <w:t>斑等斑点不超过4个，单个斑点直径≤</w:t>
            </w:r>
            <w:r>
              <w:rPr>
                <w:rFonts w:hint="eastAsia" w:ascii="宋体" w:hAnsi="宋体" w:eastAsia="宋体" w:cs="宋体"/>
                <w:b w:val="0"/>
                <w:bCs w:val="0"/>
                <w:spacing w:val="-4"/>
                <w:sz w:val="21"/>
                <w:szCs w:val="21"/>
              </w:rPr>
              <w:t>2.5mm</w:t>
            </w:r>
          </w:p>
        </w:tc>
        <w:tc>
          <w:tcPr>
            <w:tcW w:w="3465" w:type="dxa"/>
            <w:shd w:val="clear" w:color="auto" w:fill="auto"/>
            <w:vAlign w:val="top"/>
          </w:tcPr>
          <w:p w14:paraId="101AAE9B">
            <w:pPr>
              <w:pStyle w:val="230"/>
              <w:spacing w:before="51" w:line="240" w:lineRule="auto"/>
              <w:ind w:left="103" w:leftChars="0" w:right="92" w:rightChars="0" w:firstLine="4" w:firstLineChars="0"/>
              <w:rPr>
                <w:rFonts w:hint="eastAsia" w:ascii="宋体" w:hAnsi="宋体" w:eastAsia="宋体" w:cs="宋体"/>
                <w:b w:val="0"/>
                <w:bCs w:val="0"/>
                <w:kern w:val="2"/>
                <w:sz w:val="21"/>
                <w:szCs w:val="21"/>
                <w:lang w:val="en-US" w:eastAsia="en-US" w:bidi="ar-SA"/>
              </w:rPr>
            </w:pPr>
            <w:r>
              <w:rPr>
                <w:rFonts w:hint="eastAsia" w:ascii="宋体" w:hAnsi="宋体" w:eastAsia="宋体" w:cs="宋体"/>
                <w:b w:val="0"/>
                <w:bCs w:val="0"/>
                <w:spacing w:val="-5"/>
                <w:sz w:val="21"/>
                <w:szCs w:val="21"/>
              </w:rPr>
              <w:t>果面光洁，无日灼、伤疤、裂口、</w:t>
            </w:r>
            <w:r>
              <w:rPr>
                <w:rFonts w:hint="eastAsia" w:ascii="宋体" w:hAnsi="宋体" w:eastAsia="宋体" w:cs="宋体"/>
                <w:b w:val="0"/>
                <w:bCs w:val="0"/>
                <w:spacing w:val="-3"/>
                <w:sz w:val="21"/>
                <w:szCs w:val="21"/>
              </w:rPr>
              <w:t>刺伤、虫伤、擦伤、碰压伤及腐烂</w:t>
            </w:r>
            <w:r>
              <w:rPr>
                <w:rFonts w:hint="eastAsia" w:ascii="宋体" w:hAnsi="宋体" w:eastAsia="宋体" w:cs="宋体"/>
                <w:b w:val="0"/>
                <w:bCs w:val="0"/>
                <w:spacing w:val="4"/>
                <w:sz w:val="21"/>
                <w:szCs w:val="21"/>
              </w:rPr>
              <w:t xml:space="preserve"> </w:t>
            </w:r>
            <w:r>
              <w:rPr>
                <w:rFonts w:hint="eastAsia" w:ascii="宋体" w:hAnsi="宋体" w:eastAsia="宋体" w:cs="宋体"/>
                <w:b w:val="0"/>
                <w:bCs w:val="0"/>
                <w:spacing w:val="-3"/>
                <w:sz w:val="21"/>
                <w:szCs w:val="21"/>
              </w:rPr>
              <w:t>果，不得有检疫性病虫果，单果油斑、药斑等斑点不超过8个，单个斑点直径≤2.5mm</w:t>
            </w:r>
          </w:p>
        </w:tc>
        <w:tc>
          <w:tcPr>
            <w:tcW w:w="1657" w:type="dxa"/>
            <w:vMerge w:val="continue"/>
            <w:shd w:val="clear" w:color="auto" w:fill="auto"/>
            <w:vAlign w:val="top"/>
          </w:tcPr>
          <w:p w14:paraId="2D53F848">
            <w:pPr>
              <w:pStyle w:val="230"/>
              <w:spacing w:before="59" w:line="224" w:lineRule="auto"/>
              <w:rPr>
                <w:rFonts w:hint="eastAsia" w:ascii="宋体" w:hAnsi="宋体" w:eastAsia="宋体" w:cs="宋体"/>
                <w:b w:val="0"/>
                <w:bCs w:val="0"/>
                <w:kern w:val="2"/>
                <w:sz w:val="21"/>
                <w:szCs w:val="21"/>
                <w:lang w:val="en-US" w:eastAsia="zh-CN" w:bidi="ar-SA"/>
              </w:rPr>
            </w:pPr>
          </w:p>
        </w:tc>
      </w:tr>
      <w:tr w14:paraId="5304F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shd w:val="clear" w:color="auto" w:fill="auto"/>
            <w:vAlign w:val="top"/>
          </w:tcPr>
          <w:p w14:paraId="068A63CC">
            <w:pPr>
              <w:pStyle w:val="230"/>
              <w:spacing w:before="209" w:line="214" w:lineRule="auto"/>
              <w:jc w:val="center"/>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pacing w:val="-5"/>
                <w:sz w:val="21"/>
                <w:szCs w:val="21"/>
              </w:rPr>
              <w:t>果重/</w:t>
            </w:r>
            <w:r>
              <w:rPr>
                <w:rFonts w:hint="eastAsia" w:cs="宋体"/>
                <w:b w:val="0"/>
                <w:bCs w:val="0"/>
                <w:spacing w:val="-5"/>
                <w:sz w:val="21"/>
                <w:szCs w:val="21"/>
                <w:lang w:val="en-US" w:eastAsia="zh-CN"/>
              </w:rPr>
              <w:t xml:space="preserve"> </w:t>
            </w:r>
            <w:r>
              <w:rPr>
                <w:rFonts w:hint="eastAsia" w:ascii="宋体" w:hAnsi="宋体" w:eastAsia="宋体" w:cs="宋体"/>
                <w:b w:val="0"/>
                <w:bCs w:val="0"/>
                <w:spacing w:val="-5"/>
                <w:sz w:val="21"/>
                <w:szCs w:val="21"/>
              </w:rPr>
              <w:t>g</w:t>
            </w:r>
          </w:p>
        </w:tc>
        <w:tc>
          <w:tcPr>
            <w:tcW w:w="3660" w:type="dxa"/>
            <w:shd w:val="clear" w:color="auto" w:fill="auto"/>
            <w:vAlign w:val="top"/>
          </w:tcPr>
          <w:p w14:paraId="662210BE">
            <w:pPr>
              <w:pStyle w:val="230"/>
              <w:spacing w:before="210" w:line="236" w:lineRule="auto"/>
              <w:ind w:left="1044" w:leftChars="0"/>
              <w:rPr>
                <w:rFonts w:hint="eastAsia" w:ascii="宋体" w:hAnsi="宋体" w:eastAsia="宋体" w:cs="宋体"/>
                <w:b w:val="0"/>
                <w:bCs w:val="0"/>
                <w:kern w:val="2"/>
                <w:sz w:val="21"/>
                <w:szCs w:val="21"/>
                <w:lang w:val="en-US" w:eastAsia="en-US" w:bidi="ar-SA"/>
              </w:rPr>
            </w:pPr>
            <w:r>
              <w:rPr>
                <w:rFonts w:hint="eastAsia" w:ascii="宋体" w:hAnsi="宋体" w:eastAsia="宋体" w:cs="宋体"/>
                <w:b w:val="0"/>
                <w:bCs w:val="0"/>
                <w:spacing w:val="-3"/>
                <w:sz w:val="21"/>
                <w:szCs w:val="21"/>
              </w:rPr>
              <w:t>220＜G≤250</w:t>
            </w:r>
          </w:p>
        </w:tc>
        <w:tc>
          <w:tcPr>
            <w:tcW w:w="3465" w:type="dxa"/>
            <w:shd w:val="clear" w:color="auto" w:fill="auto"/>
            <w:vAlign w:val="top"/>
          </w:tcPr>
          <w:p w14:paraId="14EDC75B">
            <w:pPr>
              <w:pStyle w:val="230"/>
              <w:spacing w:before="210" w:line="236" w:lineRule="auto"/>
              <w:ind w:left="955" w:leftChars="0"/>
              <w:rPr>
                <w:rFonts w:hint="eastAsia" w:ascii="宋体" w:hAnsi="宋体" w:eastAsia="宋体" w:cs="宋体"/>
                <w:b w:val="0"/>
                <w:bCs w:val="0"/>
                <w:kern w:val="2"/>
                <w:sz w:val="21"/>
                <w:szCs w:val="21"/>
                <w:lang w:val="en-US" w:eastAsia="en-US" w:bidi="ar-SA"/>
              </w:rPr>
            </w:pPr>
            <w:r>
              <w:rPr>
                <w:rFonts w:hint="eastAsia" w:ascii="宋体" w:hAnsi="宋体" w:eastAsia="宋体" w:cs="宋体"/>
                <w:b w:val="0"/>
                <w:bCs w:val="0"/>
                <w:spacing w:val="-3"/>
                <w:sz w:val="21"/>
                <w:szCs w:val="21"/>
              </w:rPr>
              <w:t>200≤G≤220</w:t>
            </w:r>
          </w:p>
        </w:tc>
        <w:tc>
          <w:tcPr>
            <w:tcW w:w="1657" w:type="dxa"/>
            <w:shd w:val="clear" w:color="auto" w:fill="auto"/>
            <w:vAlign w:val="top"/>
          </w:tcPr>
          <w:p w14:paraId="304A6763">
            <w:pPr>
              <w:pStyle w:val="230"/>
              <w:spacing w:before="54" w:line="240" w:lineRule="auto"/>
              <w:ind w:left="110" w:leftChars="0" w:right="104" w:rightChars="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pacing w:val="-3"/>
                <w:sz w:val="21"/>
                <w:szCs w:val="21"/>
              </w:rPr>
              <w:t>采用架盘天平或精确盘</w:t>
            </w:r>
            <w:r>
              <w:rPr>
                <w:rFonts w:hint="eastAsia" w:ascii="宋体" w:hAnsi="宋体" w:eastAsia="宋体" w:cs="宋体"/>
                <w:b w:val="0"/>
                <w:bCs w:val="0"/>
                <w:spacing w:val="-4"/>
                <w:sz w:val="21"/>
                <w:szCs w:val="21"/>
              </w:rPr>
              <w:t>秤测定</w:t>
            </w:r>
          </w:p>
        </w:tc>
      </w:tr>
      <w:tr w14:paraId="3DEDB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shd w:val="clear" w:color="auto" w:fill="auto"/>
            <w:vAlign w:val="top"/>
          </w:tcPr>
          <w:p w14:paraId="6B3A63C3">
            <w:pPr>
              <w:spacing w:line="463" w:lineRule="auto"/>
              <w:jc w:val="center"/>
              <w:rPr>
                <w:rFonts w:hint="eastAsia" w:ascii="宋体" w:hAnsi="宋体" w:eastAsia="宋体" w:cs="宋体"/>
                <w:b w:val="0"/>
                <w:bCs w:val="0"/>
                <w:sz w:val="21"/>
                <w:szCs w:val="21"/>
              </w:rPr>
            </w:pPr>
          </w:p>
          <w:p w14:paraId="4EB64989">
            <w:pPr>
              <w:pStyle w:val="230"/>
              <w:spacing w:before="59" w:line="219" w:lineRule="auto"/>
              <w:jc w:val="center"/>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pacing w:val="-5"/>
                <w:sz w:val="21"/>
                <w:szCs w:val="21"/>
              </w:rPr>
              <w:t>果径/</w:t>
            </w:r>
            <w:r>
              <w:rPr>
                <w:rFonts w:hint="eastAsia" w:cs="宋体"/>
                <w:b w:val="0"/>
                <w:bCs w:val="0"/>
                <w:spacing w:val="-5"/>
                <w:sz w:val="21"/>
                <w:szCs w:val="21"/>
                <w:lang w:val="en-US" w:eastAsia="zh-CN"/>
              </w:rPr>
              <w:t xml:space="preserve"> </w:t>
            </w:r>
            <w:r>
              <w:rPr>
                <w:rFonts w:hint="eastAsia" w:ascii="宋体" w:hAnsi="宋体" w:eastAsia="宋体" w:cs="宋体"/>
                <w:b w:val="0"/>
                <w:bCs w:val="0"/>
                <w:spacing w:val="-5"/>
                <w:sz w:val="21"/>
                <w:szCs w:val="21"/>
              </w:rPr>
              <w:t>㎝</w:t>
            </w:r>
          </w:p>
        </w:tc>
        <w:tc>
          <w:tcPr>
            <w:tcW w:w="3660" w:type="dxa"/>
            <w:shd w:val="clear" w:color="auto" w:fill="auto"/>
            <w:vAlign w:val="top"/>
          </w:tcPr>
          <w:p w14:paraId="17DE02B1">
            <w:pPr>
              <w:spacing w:line="463" w:lineRule="auto"/>
              <w:rPr>
                <w:rFonts w:hint="eastAsia" w:ascii="宋体" w:hAnsi="宋体" w:eastAsia="宋体" w:cs="宋体"/>
                <w:b w:val="0"/>
                <w:bCs w:val="0"/>
                <w:sz w:val="21"/>
                <w:szCs w:val="21"/>
              </w:rPr>
            </w:pPr>
          </w:p>
          <w:p w14:paraId="6A63FFD6">
            <w:pPr>
              <w:pStyle w:val="230"/>
              <w:spacing w:before="58" w:line="236" w:lineRule="auto"/>
              <w:ind w:left="1046" w:leftChars="0"/>
              <w:rPr>
                <w:rFonts w:hint="eastAsia" w:ascii="宋体" w:hAnsi="宋体" w:eastAsia="宋体" w:cs="宋体"/>
                <w:b w:val="0"/>
                <w:bCs w:val="0"/>
                <w:kern w:val="2"/>
                <w:sz w:val="21"/>
                <w:szCs w:val="21"/>
                <w:lang w:val="en-US" w:eastAsia="en-US" w:bidi="ar-SA"/>
              </w:rPr>
            </w:pPr>
            <w:r>
              <w:rPr>
                <w:rFonts w:hint="eastAsia" w:ascii="宋体" w:hAnsi="宋体" w:eastAsia="宋体" w:cs="宋体"/>
                <w:b w:val="0"/>
                <w:bCs w:val="0"/>
                <w:spacing w:val="-3"/>
                <w:sz w:val="21"/>
                <w:szCs w:val="21"/>
              </w:rPr>
              <w:t>7.5＜d≤9.5</w:t>
            </w:r>
          </w:p>
        </w:tc>
        <w:tc>
          <w:tcPr>
            <w:tcW w:w="3465" w:type="dxa"/>
            <w:shd w:val="clear" w:color="auto" w:fill="auto"/>
            <w:vAlign w:val="top"/>
          </w:tcPr>
          <w:p w14:paraId="12D5B569">
            <w:pPr>
              <w:spacing w:line="463" w:lineRule="auto"/>
              <w:rPr>
                <w:rFonts w:hint="eastAsia" w:ascii="宋体" w:hAnsi="宋体" w:eastAsia="宋体" w:cs="宋体"/>
                <w:b w:val="0"/>
                <w:bCs w:val="0"/>
                <w:sz w:val="21"/>
                <w:szCs w:val="21"/>
              </w:rPr>
            </w:pPr>
          </w:p>
          <w:p w14:paraId="23A91285">
            <w:pPr>
              <w:pStyle w:val="230"/>
              <w:spacing w:before="58" w:line="236" w:lineRule="auto"/>
              <w:ind w:left="954" w:leftChars="0"/>
              <w:rPr>
                <w:rFonts w:hint="eastAsia" w:ascii="宋体" w:hAnsi="宋体" w:eastAsia="宋体" w:cs="宋体"/>
                <w:b w:val="0"/>
                <w:bCs w:val="0"/>
                <w:kern w:val="2"/>
                <w:sz w:val="21"/>
                <w:szCs w:val="21"/>
                <w:lang w:val="en-US" w:eastAsia="en-US" w:bidi="ar-SA"/>
              </w:rPr>
            </w:pPr>
            <w:r>
              <w:rPr>
                <w:rFonts w:hint="eastAsia" w:ascii="宋体" w:hAnsi="宋体" w:eastAsia="宋体" w:cs="宋体"/>
                <w:b w:val="0"/>
                <w:bCs w:val="0"/>
                <w:spacing w:val="-3"/>
                <w:sz w:val="21"/>
                <w:szCs w:val="21"/>
              </w:rPr>
              <w:t>6.5≤d≤7.5</w:t>
            </w:r>
          </w:p>
        </w:tc>
        <w:tc>
          <w:tcPr>
            <w:tcW w:w="1657" w:type="dxa"/>
            <w:shd w:val="clear" w:color="auto" w:fill="auto"/>
            <w:vAlign w:val="top"/>
          </w:tcPr>
          <w:p w14:paraId="7D1CCA46">
            <w:pPr>
              <w:pStyle w:val="230"/>
              <w:spacing w:before="55" w:line="240" w:lineRule="auto"/>
              <w:ind w:left="111" w:leftChars="0" w:right="104" w:rightChars="0" w:firstLine="9" w:firstLineChars="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pacing w:val="-4"/>
                <w:sz w:val="21"/>
                <w:szCs w:val="21"/>
              </w:rPr>
              <w:t>随机抽取10个样品果，</w:t>
            </w:r>
            <w:r>
              <w:rPr>
                <w:rFonts w:hint="eastAsia" w:ascii="宋体" w:hAnsi="宋体" w:eastAsia="宋体" w:cs="宋体"/>
                <w:b w:val="0"/>
                <w:bCs w:val="0"/>
                <w:spacing w:val="-3"/>
                <w:sz w:val="21"/>
                <w:szCs w:val="21"/>
              </w:rPr>
              <w:t>用游标卡尺测量果腰直径，取其算术平均值作</w:t>
            </w:r>
            <w:r>
              <w:rPr>
                <w:rFonts w:hint="eastAsia" w:ascii="宋体" w:hAnsi="宋体" w:eastAsia="宋体" w:cs="宋体"/>
                <w:b w:val="0"/>
                <w:bCs w:val="0"/>
                <w:spacing w:val="-4"/>
                <w:sz w:val="21"/>
                <w:szCs w:val="21"/>
              </w:rPr>
              <w:t>为检验结果</w:t>
            </w:r>
          </w:p>
        </w:tc>
      </w:tr>
      <w:tr w14:paraId="5FD6E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shd w:val="clear" w:color="auto" w:fill="auto"/>
            <w:vAlign w:val="top"/>
          </w:tcPr>
          <w:p w14:paraId="130A156A">
            <w:pPr>
              <w:spacing w:line="310" w:lineRule="auto"/>
              <w:jc w:val="center"/>
              <w:rPr>
                <w:rFonts w:hint="eastAsia" w:ascii="宋体" w:hAnsi="宋体" w:eastAsia="宋体" w:cs="宋体"/>
                <w:b w:val="0"/>
                <w:bCs w:val="0"/>
                <w:sz w:val="21"/>
                <w:szCs w:val="21"/>
              </w:rPr>
            </w:pPr>
          </w:p>
          <w:p w14:paraId="1E87193E">
            <w:pPr>
              <w:spacing w:line="311" w:lineRule="auto"/>
              <w:jc w:val="center"/>
              <w:rPr>
                <w:rFonts w:hint="eastAsia" w:ascii="宋体" w:hAnsi="宋体" w:eastAsia="宋体" w:cs="宋体"/>
                <w:b w:val="0"/>
                <w:bCs w:val="0"/>
                <w:sz w:val="21"/>
                <w:szCs w:val="21"/>
              </w:rPr>
            </w:pPr>
          </w:p>
          <w:p w14:paraId="3E7E0A3F">
            <w:pPr>
              <w:pStyle w:val="230"/>
              <w:spacing w:before="59" w:line="220" w:lineRule="auto"/>
              <w:jc w:val="center"/>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pacing w:val="-4"/>
                <w:sz w:val="21"/>
                <w:szCs w:val="21"/>
              </w:rPr>
              <w:t>果皮厚度/</w:t>
            </w:r>
            <w:r>
              <w:rPr>
                <w:rFonts w:hint="eastAsia" w:cs="宋体"/>
                <w:b w:val="0"/>
                <w:bCs w:val="0"/>
                <w:spacing w:val="-4"/>
                <w:sz w:val="21"/>
                <w:szCs w:val="21"/>
                <w:lang w:val="en-US" w:eastAsia="zh-CN"/>
              </w:rPr>
              <w:t xml:space="preserve"> </w:t>
            </w:r>
            <w:r>
              <w:rPr>
                <w:rFonts w:hint="eastAsia" w:ascii="宋体" w:hAnsi="宋体" w:eastAsia="宋体" w:cs="宋体"/>
                <w:b w:val="0"/>
                <w:bCs w:val="0"/>
                <w:spacing w:val="-4"/>
                <w:sz w:val="21"/>
                <w:szCs w:val="21"/>
              </w:rPr>
              <w:t>㎜</w:t>
            </w:r>
          </w:p>
        </w:tc>
        <w:tc>
          <w:tcPr>
            <w:tcW w:w="7125" w:type="dxa"/>
            <w:gridSpan w:val="2"/>
            <w:shd w:val="clear" w:color="auto" w:fill="auto"/>
            <w:vAlign w:val="top"/>
          </w:tcPr>
          <w:p w14:paraId="19A57EB3">
            <w:pPr>
              <w:spacing w:line="310" w:lineRule="auto"/>
              <w:rPr>
                <w:rFonts w:hint="eastAsia" w:ascii="宋体" w:hAnsi="宋体" w:eastAsia="宋体" w:cs="宋体"/>
                <w:b w:val="0"/>
                <w:bCs w:val="0"/>
                <w:sz w:val="21"/>
                <w:szCs w:val="21"/>
              </w:rPr>
            </w:pPr>
          </w:p>
          <w:p w14:paraId="5E5FEC97">
            <w:pPr>
              <w:spacing w:line="311" w:lineRule="auto"/>
              <w:rPr>
                <w:rFonts w:hint="eastAsia" w:ascii="宋体" w:hAnsi="宋体" w:eastAsia="宋体" w:cs="宋体"/>
                <w:b w:val="0"/>
                <w:bCs w:val="0"/>
                <w:sz w:val="21"/>
                <w:szCs w:val="21"/>
              </w:rPr>
            </w:pPr>
          </w:p>
          <w:p w14:paraId="3026601A">
            <w:pPr>
              <w:pStyle w:val="230"/>
              <w:spacing w:before="58" w:line="236" w:lineRule="auto"/>
              <w:ind w:left="2870" w:leftChars="0"/>
              <w:rPr>
                <w:rFonts w:hint="eastAsia" w:ascii="宋体" w:hAnsi="宋体" w:eastAsia="宋体" w:cs="宋体"/>
                <w:b w:val="0"/>
                <w:bCs w:val="0"/>
                <w:kern w:val="2"/>
                <w:sz w:val="21"/>
                <w:szCs w:val="21"/>
                <w:lang w:val="en-US" w:eastAsia="en-US" w:bidi="ar-SA"/>
              </w:rPr>
            </w:pPr>
            <w:r>
              <w:rPr>
                <w:rFonts w:hint="eastAsia" w:ascii="宋体" w:hAnsi="宋体" w:eastAsia="宋体" w:cs="宋体"/>
                <w:b w:val="0"/>
                <w:bCs w:val="0"/>
                <w:spacing w:val="-12"/>
                <w:sz w:val="21"/>
                <w:szCs w:val="21"/>
              </w:rPr>
              <w:t>≤5</w:t>
            </w:r>
          </w:p>
        </w:tc>
        <w:tc>
          <w:tcPr>
            <w:tcW w:w="1657" w:type="dxa"/>
            <w:shd w:val="clear" w:color="auto" w:fill="auto"/>
            <w:vAlign w:val="top"/>
          </w:tcPr>
          <w:p w14:paraId="2D2929B7">
            <w:pPr>
              <w:pStyle w:val="230"/>
              <w:spacing w:before="60" w:line="240" w:lineRule="auto"/>
              <w:ind w:left="111" w:leftChars="0" w:right="104" w:rightChars="0" w:firstLine="9" w:firstLineChars="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pacing w:val="-4"/>
                <w:sz w:val="21"/>
                <w:szCs w:val="21"/>
              </w:rPr>
              <w:t>随机抽取10个样品果，</w:t>
            </w:r>
            <w:r>
              <w:rPr>
                <w:rFonts w:hint="eastAsia" w:ascii="宋体" w:hAnsi="宋体" w:eastAsia="宋体" w:cs="宋体"/>
                <w:b w:val="0"/>
                <w:bCs w:val="0"/>
                <w:spacing w:val="-3"/>
                <w:sz w:val="21"/>
                <w:szCs w:val="21"/>
              </w:rPr>
              <w:t>从果腰部位切开，用游标卡尺测量果腰部位果皮的厚度，取其算术平均值作为检验结果</w:t>
            </w:r>
          </w:p>
        </w:tc>
      </w:tr>
      <w:tr w14:paraId="47257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gridSpan w:val="4"/>
            <w:vAlign w:val="center"/>
          </w:tcPr>
          <w:p w14:paraId="2DB02798">
            <w:pPr>
              <w:rPr>
                <w:rFonts w:hint="eastAsia" w:ascii="宋体" w:hAnsi="宋体" w:eastAsia="宋体" w:cs="宋体"/>
                <w:b w:val="0"/>
                <w:bCs w:val="0"/>
                <w:color w:val="auto"/>
                <w:spacing w:val="0"/>
                <w:sz w:val="21"/>
                <w:szCs w:val="21"/>
                <w:vertAlign w:val="baseline"/>
                <w:lang w:val="en-US" w:eastAsia="zh-CN"/>
              </w:rPr>
            </w:pPr>
            <w:r>
              <w:rPr>
                <w:rFonts w:hint="eastAsia" w:ascii="宋体" w:hAnsi="宋体" w:eastAsia="宋体" w:cs="宋体"/>
                <w:b w:val="0"/>
                <w:bCs w:val="0"/>
                <w:spacing w:val="-3"/>
              </w:rPr>
              <w:t>注：G代表果重；d代表果径</w:t>
            </w:r>
          </w:p>
        </w:tc>
      </w:tr>
    </w:tbl>
    <w:p w14:paraId="7B38109A">
      <w:pPr>
        <w:pStyle w:val="56"/>
        <w:ind w:left="0" w:leftChars="0" w:firstLine="0" w:firstLineChars="0"/>
        <w:rPr>
          <w:rFonts w:hint="default"/>
          <w:lang w:val="en-US" w:eastAsia="zh-CN"/>
        </w:rPr>
      </w:pPr>
    </w:p>
    <w:p w14:paraId="2DD17454">
      <w:pPr>
        <w:pStyle w:val="104"/>
        <w:numPr>
          <w:ilvl w:val="1"/>
          <w:numId w:val="0"/>
        </w:numPr>
        <w:spacing w:before="240" w:after="240"/>
        <w:ind w:leftChars="0"/>
      </w:pPr>
      <w:r>
        <w:rPr>
          <w:rFonts w:hint="eastAsia"/>
          <w:lang w:val="en-US" w:eastAsia="zh-CN"/>
        </w:rPr>
        <w:t xml:space="preserve">4.3  </w:t>
      </w:r>
      <w:r>
        <w:rPr>
          <w:rFonts w:hint="eastAsia"/>
          <w:lang w:eastAsia="zh-CN"/>
        </w:rPr>
        <w:t>理化指标</w:t>
      </w:r>
    </w:p>
    <w:p w14:paraId="1B0F6E4B">
      <w:pPr>
        <w:pStyle w:val="56"/>
        <w:rPr>
          <w:rFonts w:hint="eastAsia"/>
          <w:lang w:eastAsia="zh-CN"/>
        </w:rPr>
      </w:pPr>
      <w:r>
        <w:rPr>
          <w:rFonts w:hint="eastAsia"/>
          <w:lang w:eastAsia="zh-CN"/>
        </w:rPr>
        <w:t>应符合表</w:t>
      </w:r>
      <w:r>
        <w:rPr>
          <w:rFonts w:hint="eastAsia"/>
          <w:lang w:val="en-US" w:eastAsia="zh-CN"/>
        </w:rPr>
        <w:t>2的规定</w:t>
      </w:r>
      <w:r>
        <w:rPr>
          <w:rFonts w:hint="eastAsia"/>
          <w:lang w:eastAsia="zh-CN"/>
        </w:rPr>
        <w:t>。</w:t>
      </w:r>
    </w:p>
    <w:p w14:paraId="640AED84">
      <w:pPr>
        <w:pStyle w:val="56"/>
        <w:jc w:val="center"/>
        <w:rPr>
          <w:rFonts w:hint="eastAsia" w:ascii="黑体" w:hAnsi="黑体" w:eastAsia="黑体" w:cs="黑体"/>
          <w:lang w:val="en-US" w:eastAsia="zh-CN"/>
        </w:rPr>
      </w:pPr>
      <w:r>
        <w:rPr>
          <w:rFonts w:hint="eastAsia" w:ascii="黑体" w:hAnsi="黑体" w:eastAsia="黑体" w:cs="黑体"/>
          <w:lang w:eastAsia="zh-CN"/>
        </w:rPr>
        <w:t>表</w:t>
      </w:r>
      <w:r>
        <w:rPr>
          <w:rFonts w:hint="eastAsia" w:ascii="黑体" w:hAnsi="黑体" w:eastAsia="黑体" w:cs="黑体"/>
          <w:lang w:val="en-US" w:eastAsia="zh-CN"/>
        </w:rPr>
        <w:t>2  理化指标</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2"/>
        <w:gridCol w:w="2685"/>
        <w:gridCol w:w="2427"/>
        <w:gridCol w:w="2116"/>
      </w:tblGrid>
      <w:tr w14:paraId="275EE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3" w:type="dxa"/>
            <w:vMerge w:val="restart"/>
            <w:vAlign w:val="center"/>
          </w:tcPr>
          <w:p w14:paraId="7CB40FA1">
            <w:pPr>
              <w:jc w:val="center"/>
              <w:rPr>
                <w:rFonts w:hint="eastAsia" w:ascii="黑体" w:hAnsi="黑体" w:eastAsia="黑体" w:cs="黑体"/>
                <w:vertAlign w:val="baseline"/>
                <w:lang w:val="en-US" w:eastAsia="zh-CN"/>
              </w:rPr>
            </w:pPr>
            <w:r>
              <w:rPr>
                <w:rFonts w:hint="eastAsia" w:ascii="黑体" w:hAnsi="黑体" w:eastAsia="黑体" w:cs="黑体"/>
                <w:vertAlign w:val="baseline"/>
                <w:lang w:val="en-US" w:eastAsia="zh-CN"/>
              </w:rPr>
              <w:t>项目</w:t>
            </w:r>
          </w:p>
        </w:tc>
        <w:tc>
          <w:tcPr>
            <w:tcW w:w="5112" w:type="dxa"/>
            <w:gridSpan w:val="2"/>
          </w:tcPr>
          <w:p w14:paraId="0CB4C25A">
            <w:pPr>
              <w:jc w:val="center"/>
              <w:rPr>
                <w:rFonts w:hint="eastAsia" w:ascii="黑体" w:hAnsi="黑体" w:eastAsia="黑体" w:cs="黑体"/>
                <w:vertAlign w:val="baseline"/>
                <w:lang w:val="en-US" w:eastAsia="zh-CN"/>
              </w:rPr>
            </w:pPr>
            <w:r>
              <w:rPr>
                <w:rFonts w:hint="eastAsia" w:ascii="黑体" w:hAnsi="黑体" w:eastAsia="黑体" w:cs="黑体"/>
                <w:vertAlign w:val="baseline"/>
                <w:lang w:val="en-US" w:eastAsia="zh-CN"/>
              </w:rPr>
              <w:t>要求</w:t>
            </w:r>
          </w:p>
        </w:tc>
        <w:tc>
          <w:tcPr>
            <w:tcW w:w="2116" w:type="dxa"/>
            <w:vMerge w:val="restart"/>
            <w:vAlign w:val="center"/>
          </w:tcPr>
          <w:p w14:paraId="6184C630">
            <w:pPr>
              <w:jc w:val="center"/>
              <w:rPr>
                <w:rFonts w:hint="eastAsia" w:ascii="黑体" w:hAnsi="黑体" w:eastAsia="黑体" w:cs="黑体"/>
                <w:vertAlign w:val="baseline"/>
                <w:lang w:val="en-US" w:eastAsia="zh-CN"/>
              </w:rPr>
            </w:pPr>
            <w:r>
              <w:rPr>
                <w:rFonts w:hint="eastAsia" w:ascii="黑体" w:hAnsi="黑体" w:eastAsia="黑体" w:cs="黑体"/>
                <w:vertAlign w:val="baseline"/>
                <w:lang w:val="en-US" w:eastAsia="zh-CN"/>
              </w:rPr>
              <w:t>检验方法</w:t>
            </w:r>
          </w:p>
        </w:tc>
      </w:tr>
      <w:tr w14:paraId="6FE38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3" w:type="dxa"/>
            <w:vMerge w:val="continue"/>
          </w:tcPr>
          <w:p w14:paraId="166BD042">
            <w:pPr>
              <w:jc w:val="center"/>
              <w:rPr>
                <w:rFonts w:hint="eastAsia" w:ascii="黑体" w:hAnsi="黑体" w:eastAsia="黑体" w:cs="黑体"/>
                <w:vertAlign w:val="baseline"/>
                <w:lang w:val="en-US" w:eastAsia="zh-CN"/>
              </w:rPr>
            </w:pPr>
          </w:p>
        </w:tc>
        <w:tc>
          <w:tcPr>
            <w:tcW w:w="2685" w:type="dxa"/>
          </w:tcPr>
          <w:p w14:paraId="174CB660">
            <w:pPr>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一级</w:t>
            </w:r>
          </w:p>
        </w:tc>
        <w:tc>
          <w:tcPr>
            <w:tcW w:w="2427" w:type="dxa"/>
          </w:tcPr>
          <w:p w14:paraId="4B470EFA">
            <w:pPr>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二级</w:t>
            </w:r>
          </w:p>
        </w:tc>
        <w:tc>
          <w:tcPr>
            <w:tcW w:w="2116" w:type="dxa"/>
            <w:vMerge w:val="continue"/>
          </w:tcPr>
          <w:p w14:paraId="5E336A49">
            <w:pPr>
              <w:jc w:val="center"/>
              <w:rPr>
                <w:rFonts w:hint="eastAsia" w:ascii="黑体" w:hAnsi="黑体" w:eastAsia="黑体" w:cs="黑体"/>
                <w:vertAlign w:val="baseline"/>
                <w:lang w:val="en-US" w:eastAsia="zh-CN"/>
              </w:rPr>
            </w:pPr>
          </w:p>
        </w:tc>
      </w:tr>
      <w:tr w14:paraId="41807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3" w:type="dxa"/>
            <w:shd w:val="clear" w:color="auto" w:fill="auto"/>
            <w:vAlign w:val="center"/>
          </w:tcPr>
          <w:p w14:paraId="09D54B30">
            <w:pPr>
              <w:pStyle w:val="230"/>
              <w:spacing w:before="51" w:line="220" w:lineRule="auto"/>
              <w:ind w:left="101" w:leftChars="0"/>
              <w:jc w:val="center"/>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pacing w:val="5"/>
                <w:sz w:val="21"/>
                <w:szCs w:val="21"/>
              </w:rPr>
              <w:t>可溶性固形物/%</w:t>
            </w:r>
          </w:p>
        </w:tc>
        <w:tc>
          <w:tcPr>
            <w:tcW w:w="2685" w:type="dxa"/>
            <w:shd w:val="clear" w:color="auto" w:fill="auto"/>
            <w:vAlign w:val="center"/>
          </w:tcPr>
          <w:p w14:paraId="4205F8D0">
            <w:pPr>
              <w:pStyle w:val="230"/>
              <w:spacing w:before="52" w:line="237" w:lineRule="auto"/>
              <w:jc w:val="center"/>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pacing w:val="-10"/>
                <w:sz w:val="21"/>
                <w:szCs w:val="21"/>
              </w:rPr>
              <w:t>≥13</w:t>
            </w:r>
          </w:p>
        </w:tc>
        <w:tc>
          <w:tcPr>
            <w:tcW w:w="2427" w:type="dxa"/>
            <w:shd w:val="clear" w:color="auto" w:fill="auto"/>
            <w:vAlign w:val="center"/>
          </w:tcPr>
          <w:p w14:paraId="2A51D073">
            <w:pPr>
              <w:pStyle w:val="230"/>
              <w:spacing w:before="51" w:line="236" w:lineRule="auto"/>
              <w:jc w:val="center"/>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pacing w:val="-5"/>
                <w:sz w:val="21"/>
                <w:szCs w:val="21"/>
              </w:rPr>
              <w:t>12≤S&lt;13</w:t>
            </w:r>
          </w:p>
        </w:tc>
        <w:tc>
          <w:tcPr>
            <w:tcW w:w="2116" w:type="dxa"/>
            <w:vMerge w:val="restart"/>
            <w:vAlign w:val="center"/>
          </w:tcPr>
          <w:p w14:paraId="273FA969">
            <w:pPr>
              <w:jc w:val="center"/>
              <w:rPr>
                <w:rFonts w:hint="eastAsia" w:ascii="黑体" w:hAnsi="黑体" w:eastAsia="黑体" w:cs="黑体"/>
                <w:sz w:val="21"/>
                <w:szCs w:val="21"/>
                <w:vertAlign w:val="baseline"/>
                <w:lang w:val="en-US" w:eastAsia="zh-CN"/>
              </w:rPr>
            </w:pPr>
            <w:r>
              <w:rPr>
                <w:rFonts w:hint="eastAsia" w:ascii="宋体" w:hAnsi="宋体" w:eastAsia="宋体" w:cs="宋体"/>
                <w:b w:val="0"/>
                <w:bCs w:val="0"/>
                <w:spacing w:val="-4"/>
                <w:sz w:val="21"/>
                <w:szCs w:val="21"/>
              </w:rPr>
              <w:t>GB/T</w:t>
            </w:r>
            <w:r>
              <w:rPr>
                <w:rFonts w:hint="eastAsia" w:ascii="宋体" w:hAnsi="宋体" w:eastAsia="宋体" w:cs="宋体"/>
                <w:b w:val="0"/>
                <w:bCs w:val="0"/>
                <w:spacing w:val="12"/>
                <w:sz w:val="21"/>
                <w:szCs w:val="21"/>
              </w:rPr>
              <w:t xml:space="preserve"> </w:t>
            </w:r>
            <w:r>
              <w:rPr>
                <w:rFonts w:hint="eastAsia" w:ascii="宋体" w:hAnsi="宋体" w:eastAsia="宋体" w:cs="宋体"/>
                <w:b w:val="0"/>
                <w:bCs w:val="0"/>
                <w:spacing w:val="-4"/>
                <w:sz w:val="21"/>
                <w:szCs w:val="21"/>
              </w:rPr>
              <w:t>8210</w:t>
            </w:r>
          </w:p>
        </w:tc>
      </w:tr>
      <w:tr w14:paraId="275A8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3" w:type="dxa"/>
            <w:shd w:val="clear" w:color="auto" w:fill="auto"/>
            <w:vAlign w:val="center"/>
          </w:tcPr>
          <w:p w14:paraId="376B5FF7">
            <w:pPr>
              <w:pStyle w:val="230"/>
              <w:spacing w:before="57" w:line="219" w:lineRule="auto"/>
              <w:ind w:left="104" w:leftChars="0"/>
              <w:jc w:val="center"/>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pacing w:val="-3"/>
                <w:sz w:val="21"/>
                <w:szCs w:val="21"/>
              </w:rPr>
              <w:t>总酸（以柠檬酸计）/</w:t>
            </w:r>
            <w:r>
              <w:rPr>
                <w:rFonts w:hint="eastAsia" w:ascii="宋体" w:hAnsi="宋体" w:eastAsia="宋体" w:cs="宋体"/>
                <w:b w:val="0"/>
                <w:bCs w:val="0"/>
                <w:spacing w:val="8"/>
                <w:w w:val="132"/>
                <w:sz w:val="21"/>
                <w:szCs w:val="21"/>
              </w:rPr>
              <w:t>%</w:t>
            </w:r>
          </w:p>
        </w:tc>
        <w:tc>
          <w:tcPr>
            <w:tcW w:w="5112" w:type="dxa"/>
            <w:gridSpan w:val="2"/>
            <w:shd w:val="clear" w:color="auto" w:fill="auto"/>
            <w:vAlign w:val="center"/>
          </w:tcPr>
          <w:p w14:paraId="360C3220">
            <w:pPr>
              <w:jc w:val="center"/>
              <w:rPr>
                <w:rFonts w:hint="eastAsia" w:ascii="黑体" w:hAnsi="黑体" w:eastAsia="黑体" w:cs="黑体"/>
                <w:sz w:val="21"/>
                <w:szCs w:val="21"/>
                <w:vertAlign w:val="baseline"/>
                <w:lang w:val="en-US" w:eastAsia="zh-CN"/>
              </w:rPr>
            </w:pPr>
            <w:r>
              <w:rPr>
                <w:rFonts w:hint="eastAsia" w:ascii="宋体" w:hAnsi="宋体" w:eastAsia="宋体" w:cs="宋体"/>
                <w:b w:val="0"/>
                <w:bCs w:val="0"/>
                <w:spacing w:val="-7"/>
                <w:sz w:val="21"/>
                <w:szCs w:val="21"/>
              </w:rPr>
              <w:t>≤0.8</w:t>
            </w:r>
          </w:p>
        </w:tc>
        <w:tc>
          <w:tcPr>
            <w:tcW w:w="2116" w:type="dxa"/>
            <w:vMerge w:val="continue"/>
            <w:vAlign w:val="center"/>
          </w:tcPr>
          <w:p w14:paraId="46959017">
            <w:pPr>
              <w:jc w:val="center"/>
              <w:rPr>
                <w:rFonts w:hint="eastAsia" w:ascii="黑体" w:hAnsi="黑体" w:eastAsia="黑体" w:cs="黑体"/>
                <w:sz w:val="21"/>
                <w:szCs w:val="21"/>
                <w:vertAlign w:val="baseline"/>
                <w:lang w:val="en-US" w:eastAsia="zh-CN"/>
              </w:rPr>
            </w:pPr>
          </w:p>
        </w:tc>
      </w:tr>
      <w:tr w14:paraId="0C329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3" w:type="dxa"/>
            <w:shd w:val="clear" w:color="auto" w:fill="auto"/>
            <w:vAlign w:val="center"/>
          </w:tcPr>
          <w:p w14:paraId="6D2ACD8C">
            <w:pPr>
              <w:pStyle w:val="230"/>
              <w:spacing w:before="61" w:line="220" w:lineRule="auto"/>
              <w:ind w:left="104" w:leftChars="0"/>
              <w:jc w:val="center"/>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pacing w:val="-3"/>
                <w:sz w:val="21"/>
                <w:szCs w:val="21"/>
              </w:rPr>
              <w:t>总糖（以还原糖计）/</w:t>
            </w:r>
            <w:r>
              <w:rPr>
                <w:rFonts w:hint="eastAsia" w:ascii="宋体" w:hAnsi="宋体" w:eastAsia="宋体" w:cs="宋体"/>
                <w:b w:val="0"/>
                <w:bCs w:val="0"/>
                <w:spacing w:val="8"/>
                <w:w w:val="132"/>
                <w:sz w:val="21"/>
                <w:szCs w:val="21"/>
              </w:rPr>
              <w:t>%</w:t>
            </w:r>
          </w:p>
        </w:tc>
        <w:tc>
          <w:tcPr>
            <w:tcW w:w="2685" w:type="dxa"/>
            <w:shd w:val="clear" w:color="auto" w:fill="auto"/>
            <w:vAlign w:val="center"/>
          </w:tcPr>
          <w:p w14:paraId="4C68DD04">
            <w:pPr>
              <w:pStyle w:val="230"/>
              <w:spacing w:before="217" w:line="237" w:lineRule="auto"/>
              <w:jc w:val="center"/>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pacing w:val="-10"/>
                <w:sz w:val="21"/>
                <w:szCs w:val="21"/>
              </w:rPr>
              <w:t>≥11</w:t>
            </w:r>
          </w:p>
        </w:tc>
        <w:tc>
          <w:tcPr>
            <w:tcW w:w="2427" w:type="dxa"/>
            <w:shd w:val="clear" w:color="auto" w:fill="auto"/>
            <w:vAlign w:val="center"/>
          </w:tcPr>
          <w:p w14:paraId="57DF4BB3">
            <w:pPr>
              <w:pStyle w:val="230"/>
              <w:spacing w:before="217" w:line="236" w:lineRule="auto"/>
              <w:jc w:val="center"/>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pacing w:val="-5"/>
                <w:sz w:val="21"/>
                <w:szCs w:val="21"/>
              </w:rPr>
              <w:t>10≤D&lt;11</w:t>
            </w:r>
          </w:p>
        </w:tc>
        <w:tc>
          <w:tcPr>
            <w:tcW w:w="2116" w:type="dxa"/>
            <w:vAlign w:val="center"/>
          </w:tcPr>
          <w:p w14:paraId="42EF7EDD">
            <w:pPr>
              <w:jc w:val="center"/>
              <w:rPr>
                <w:rFonts w:hint="eastAsia" w:ascii="黑体" w:hAnsi="黑体" w:eastAsia="黑体" w:cs="黑体"/>
                <w:sz w:val="21"/>
                <w:szCs w:val="21"/>
                <w:vertAlign w:val="baseline"/>
                <w:lang w:val="en-US" w:eastAsia="zh-CN"/>
              </w:rPr>
            </w:pPr>
            <w:r>
              <w:rPr>
                <w:rFonts w:hint="eastAsia" w:ascii="宋体" w:hAnsi="宋体" w:eastAsia="宋体" w:cs="宋体"/>
                <w:b w:val="0"/>
                <w:bCs w:val="0"/>
                <w:spacing w:val="-4"/>
                <w:sz w:val="21"/>
                <w:szCs w:val="21"/>
              </w:rPr>
              <w:t>GB</w:t>
            </w:r>
            <w:r>
              <w:rPr>
                <w:rFonts w:hint="eastAsia" w:ascii="宋体" w:hAnsi="宋体" w:eastAsia="宋体" w:cs="宋体"/>
                <w:b w:val="0"/>
                <w:bCs w:val="0"/>
                <w:spacing w:val="12"/>
                <w:sz w:val="21"/>
                <w:szCs w:val="21"/>
              </w:rPr>
              <w:t xml:space="preserve"> </w:t>
            </w:r>
            <w:r>
              <w:rPr>
                <w:rFonts w:hint="eastAsia" w:ascii="宋体" w:hAnsi="宋体" w:eastAsia="宋体" w:cs="宋体"/>
                <w:b w:val="0"/>
                <w:bCs w:val="0"/>
                <w:spacing w:val="-4"/>
                <w:sz w:val="21"/>
                <w:szCs w:val="21"/>
              </w:rPr>
              <w:t>5009.7</w:t>
            </w:r>
          </w:p>
        </w:tc>
      </w:tr>
      <w:tr w14:paraId="3DE06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3" w:type="dxa"/>
            <w:shd w:val="clear" w:color="auto" w:fill="auto"/>
            <w:vAlign w:val="center"/>
          </w:tcPr>
          <w:p w14:paraId="2749DA44">
            <w:pPr>
              <w:pStyle w:val="230"/>
              <w:spacing w:before="64" w:line="220" w:lineRule="auto"/>
              <w:ind w:left="115" w:leftChars="0"/>
              <w:jc w:val="center"/>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pacing w:val="7"/>
                <w:sz w:val="21"/>
                <w:szCs w:val="21"/>
              </w:rPr>
              <w:t>固酸比/%</w:t>
            </w:r>
          </w:p>
        </w:tc>
        <w:tc>
          <w:tcPr>
            <w:tcW w:w="5112" w:type="dxa"/>
            <w:gridSpan w:val="2"/>
            <w:shd w:val="clear" w:color="auto" w:fill="auto"/>
            <w:vAlign w:val="center"/>
          </w:tcPr>
          <w:p w14:paraId="5525A6AD">
            <w:pPr>
              <w:jc w:val="center"/>
              <w:rPr>
                <w:rFonts w:hint="eastAsia" w:ascii="黑体" w:hAnsi="黑体" w:eastAsia="黑体" w:cs="黑体"/>
                <w:sz w:val="21"/>
                <w:szCs w:val="21"/>
                <w:vertAlign w:val="baseline"/>
                <w:lang w:val="en-US" w:eastAsia="zh-CN"/>
              </w:rPr>
            </w:pPr>
            <w:r>
              <w:rPr>
                <w:rFonts w:hint="eastAsia" w:ascii="宋体" w:hAnsi="宋体" w:eastAsia="宋体" w:cs="宋体"/>
                <w:b w:val="0"/>
                <w:bCs w:val="0"/>
                <w:spacing w:val="-10"/>
                <w:sz w:val="21"/>
                <w:szCs w:val="21"/>
              </w:rPr>
              <w:t>≥15</w:t>
            </w:r>
          </w:p>
        </w:tc>
        <w:tc>
          <w:tcPr>
            <w:tcW w:w="2116" w:type="dxa"/>
            <w:vAlign w:val="center"/>
          </w:tcPr>
          <w:p w14:paraId="61780608">
            <w:pPr>
              <w:jc w:val="center"/>
              <w:rPr>
                <w:rFonts w:hint="eastAsia" w:ascii="黑体" w:hAnsi="黑体" w:eastAsia="黑体" w:cs="黑体"/>
                <w:sz w:val="21"/>
                <w:szCs w:val="21"/>
                <w:vertAlign w:val="baseline"/>
                <w:lang w:val="en-US" w:eastAsia="zh-CN"/>
              </w:rPr>
            </w:pPr>
            <w:r>
              <w:rPr>
                <w:rFonts w:hint="eastAsia" w:ascii="宋体" w:hAnsi="宋体" w:eastAsia="宋体" w:cs="宋体"/>
                <w:b w:val="0"/>
                <w:bCs w:val="0"/>
                <w:spacing w:val="-5"/>
                <w:sz w:val="21"/>
                <w:szCs w:val="21"/>
              </w:rPr>
              <w:t>GB/T</w:t>
            </w:r>
            <w:r>
              <w:rPr>
                <w:rFonts w:hint="eastAsia" w:ascii="宋体" w:hAnsi="宋体" w:cs="宋体"/>
                <w:b w:val="0"/>
                <w:bCs w:val="0"/>
                <w:spacing w:val="-5"/>
                <w:sz w:val="21"/>
                <w:szCs w:val="21"/>
                <w:lang w:val="en-US" w:eastAsia="zh-CN"/>
              </w:rPr>
              <w:t xml:space="preserve"> </w:t>
            </w:r>
            <w:r>
              <w:rPr>
                <w:rFonts w:hint="eastAsia" w:ascii="宋体" w:hAnsi="宋体" w:eastAsia="宋体" w:cs="宋体"/>
                <w:b w:val="0"/>
                <w:bCs w:val="0"/>
                <w:spacing w:val="-5"/>
                <w:sz w:val="21"/>
                <w:szCs w:val="21"/>
              </w:rPr>
              <w:t>12947</w:t>
            </w:r>
          </w:p>
        </w:tc>
      </w:tr>
      <w:tr w14:paraId="506C5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3" w:type="dxa"/>
            <w:shd w:val="clear" w:color="auto" w:fill="auto"/>
            <w:vAlign w:val="center"/>
          </w:tcPr>
          <w:p w14:paraId="51B82B65">
            <w:pPr>
              <w:pStyle w:val="230"/>
              <w:spacing w:before="65" w:line="219" w:lineRule="auto"/>
              <w:ind w:left="101" w:leftChars="0"/>
              <w:jc w:val="center"/>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pacing w:val="9"/>
                <w:sz w:val="21"/>
                <w:szCs w:val="21"/>
              </w:rPr>
              <w:t>可食率/%</w:t>
            </w:r>
          </w:p>
        </w:tc>
        <w:tc>
          <w:tcPr>
            <w:tcW w:w="5112" w:type="dxa"/>
            <w:gridSpan w:val="2"/>
            <w:shd w:val="clear" w:color="auto" w:fill="auto"/>
            <w:vAlign w:val="center"/>
          </w:tcPr>
          <w:p w14:paraId="362B0BC5">
            <w:pPr>
              <w:jc w:val="center"/>
              <w:rPr>
                <w:rFonts w:hint="eastAsia" w:ascii="黑体" w:hAnsi="黑体" w:eastAsia="黑体" w:cs="黑体"/>
                <w:sz w:val="21"/>
                <w:szCs w:val="21"/>
                <w:vertAlign w:val="baseline"/>
                <w:lang w:val="en-US" w:eastAsia="zh-CN"/>
              </w:rPr>
            </w:pPr>
            <w:r>
              <w:rPr>
                <w:rFonts w:hint="eastAsia" w:ascii="宋体" w:hAnsi="宋体" w:eastAsia="宋体" w:cs="宋体"/>
                <w:b w:val="0"/>
                <w:bCs w:val="0"/>
                <w:spacing w:val="-10"/>
                <w:sz w:val="21"/>
                <w:szCs w:val="21"/>
              </w:rPr>
              <w:t>≥70</w:t>
            </w:r>
          </w:p>
        </w:tc>
        <w:tc>
          <w:tcPr>
            <w:tcW w:w="2116" w:type="dxa"/>
            <w:vAlign w:val="center"/>
          </w:tcPr>
          <w:p w14:paraId="0963CF9E">
            <w:pPr>
              <w:jc w:val="center"/>
              <w:rPr>
                <w:rFonts w:hint="eastAsia" w:ascii="黑体" w:hAnsi="黑体" w:eastAsia="黑体" w:cs="黑体"/>
                <w:sz w:val="21"/>
                <w:szCs w:val="21"/>
                <w:vertAlign w:val="baseline"/>
                <w:lang w:val="en-US" w:eastAsia="zh-CN"/>
              </w:rPr>
            </w:pPr>
            <w:r>
              <w:rPr>
                <w:rFonts w:hint="eastAsia" w:ascii="宋体" w:hAnsi="宋体" w:eastAsia="宋体" w:cs="宋体"/>
                <w:b w:val="0"/>
                <w:bCs w:val="0"/>
                <w:spacing w:val="-4"/>
                <w:sz w:val="21"/>
                <w:szCs w:val="21"/>
              </w:rPr>
              <w:t>GB/T</w:t>
            </w:r>
            <w:r>
              <w:rPr>
                <w:rFonts w:hint="eastAsia" w:ascii="宋体" w:hAnsi="宋体" w:eastAsia="宋体" w:cs="宋体"/>
                <w:b w:val="0"/>
                <w:bCs w:val="0"/>
                <w:spacing w:val="14"/>
                <w:sz w:val="21"/>
                <w:szCs w:val="21"/>
              </w:rPr>
              <w:t xml:space="preserve"> </w:t>
            </w:r>
            <w:r>
              <w:rPr>
                <w:rFonts w:hint="eastAsia" w:ascii="宋体" w:hAnsi="宋体" w:eastAsia="宋体" w:cs="宋体"/>
                <w:b w:val="0"/>
                <w:bCs w:val="0"/>
                <w:spacing w:val="-4"/>
                <w:sz w:val="21"/>
                <w:szCs w:val="21"/>
              </w:rPr>
              <w:t>8210</w:t>
            </w:r>
          </w:p>
        </w:tc>
      </w:tr>
      <w:tr w14:paraId="70718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gridSpan w:val="4"/>
          </w:tcPr>
          <w:p w14:paraId="4297E300">
            <w:pPr>
              <w:jc w:val="both"/>
              <w:rPr>
                <w:rFonts w:hint="eastAsia" w:ascii="黑体" w:hAnsi="黑体" w:eastAsia="黑体" w:cs="黑体"/>
                <w:sz w:val="21"/>
                <w:szCs w:val="21"/>
                <w:vertAlign w:val="baseline"/>
                <w:lang w:val="en-US" w:eastAsia="zh-CN"/>
              </w:rPr>
            </w:pPr>
            <w:r>
              <w:rPr>
                <w:rFonts w:hint="eastAsia" w:ascii="宋体" w:hAnsi="宋体" w:eastAsia="宋体" w:cs="宋体"/>
                <w:b w:val="0"/>
                <w:bCs w:val="0"/>
                <w:spacing w:val="-3"/>
                <w:sz w:val="21"/>
                <w:szCs w:val="21"/>
              </w:rPr>
              <w:t>注：S代表可溶性固形物含量；D代表总糖含量</w:t>
            </w:r>
          </w:p>
        </w:tc>
      </w:tr>
    </w:tbl>
    <w:p w14:paraId="43CECC62">
      <w:pPr>
        <w:pStyle w:val="56"/>
        <w:jc w:val="center"/>
        <w:rPr>
          <w:rFonts w:hint="default"/>
          <w:lang w:val="en-US" w:eastAsia="zh-CN"/>
        </w:rPr>
      </w:pPr>
    </w:p>
    <w:p w14:paraId="534568E8">
      <w:pPr>
        <w:pStyle w:val="104"/>
        <w:numPr>
          <w:ilvl w:val="1"/>
          <w:numId w:val="0"/>
        </w:numPr>
        <w:spacing w:before="240" w:after="240"/>
        <w:ind w:leftChars="0"/>
        <w:rPr>
          <w:rFonts w:hint="eastAsia"/>
          <w:lang w:eastAsia="zh-CN"/>
        </w:rPr>
      </w:pPr>
      <w:r>
        <w:rPr>
          <w:rFonts w:hint="eastAsia"/>
          <w:lang w:val="en-US" w:eastAsia="zh-CN"/>
        </w:rPr>
        <w:t xml:space="preserve">4.4  </w:t>
      </w:r>
      <w:r>
        <w:rPr>
          <w:rFonts w:hint="eastAsia"/>
          <w:lang w:eastAsia="zh-CN"/>
        </w:rPr>
        <w:t>卫生指标</w:t>
      </w:r>
    </w:p>
    <w:p w14:paraId="7ED8B8E4">
      <w:pPr>
        <w:pStyle w:val="232"/>
        <w:rPr>
          <w:color w:val="auto"/>
        </w:rPr>
      </w:pPr>
      <w:r>
        <w:rPr>
          <w:rFonts w:hint="eastAsia" w:ascii="宋体" w:hAnsi="宋体" w:eastAsia="宋体" w:cs="宋体"/>
          <w:b w:val="0"/>
          <w:bCs w:val="0"/>
          <w:spacing w:val="0"/>
          <w:sz w:val="21"/>
          <w:szCs w:val="21"/>
        </w:rPr>
        <w:t>应符合GB 2761、GB 2762、GB 2763的规定</w:t>
      </w:r>
      <w:r>
        <w:rPr>
          <w:rFonts w:hint="eastAsia" w:hAnsi="宋体" w:cs="宋体"/>
          <w:b w:val="0"/>
          <w:bCs w:val="0"/>
          <w:color w:val="auto"/>
          <w:spacing w:val="0"/>
          <w:sz w:val="21"/>
          <w:szCs w:val="21"/>
          <w:lang w:val="en-US" w:eastAsia="zh-CN"/>
        </w:rPr>
        <w:t>,</w:t>
      </w:r>
      <w:r>
        <w:rPr>
          <w:rFonts w:hint="eastAsia" w:hAnsi="宋体" w:cs="宋体"/>
          <w:b w:val="0"/>
          <w:bCs w:val="0"/>
          <w:color w:val="auto"/>
          <w:spacing w:val="0"/>
          <w:sz w:val="21"/>
          <w:szCs w:val="21"/>
          <w:lang w:eastAsia="zh-CN"/>
        </w:rPr>
        <w:t>按</w:t>
      </w:r>
      <w:r>
        <w:rPr>
          <w:rFonts w:hint="eastAsia" w:ascii="宋体" w:hAnsi="宋体" w:eastAsia="宋体" w:cs="宋体"/>
          <w:b w:val="0"/>
          <w:bCs w:val="0"/>
          <w:color w:val="auto"/>
          <w:spacing w:val="0"/>
          <w:sz w:val="21"/>
          <w:szCs w:val="21"/>
        </w:rPr>
        <w:t>GB 2761、GB 2762、GB 2763规定</w:t>
      </w:r>
      <w:r>
        <w:rPr>
          <w:rFonts w:hint="eastAsia" w:hAnsi="宋体" w:cs="宋体"/>
          <w:b w:val="0"/>
          <w:bCs w:val="0"/>
          <w:color w:val="auto"/>
          <w:spacing w:val="0"/>
          <w:sz w:val="21"/>
          <w:szCs w:val="21"/>
          <w:lang w:eastAsia="zh-CN"/>
        </w:rPr>
        <w:t>的方法检验。</w:t>
      </w:r>
    </w:p>
    <w:p w14:paraId="3744A00C">
      <w:pPr>
        <w:pStyle w:val="104"/>
        <w:numPr>
          <w:ilvl w:val="1"/>
          <w:numId w:val="0"/>
        </w:numPr>
        <w:spacing w:before="240" w:after="240"/>
        <w:ind w:leftChars="0"/>
      </w:pPr>
      <w:r>
        <w:rPr>
          <w:rFonts w:hint="eastAsia"/>
          <w:lang w:val="en-US" w:eastAsia="zh-CN"/>
        </w:rPr>
        <w:t xml:space="preserve">4.5  </w:t>
      </w:r>
      <w:r>
        <w:rPr>
          <w:rFonts w:hint="eastAsia"/>
          <w:lang w:eastAsia="zh-CN"/>
        </w:rPr>
        <w:t>净含量</w:t>
      </w:r>
    </w:p>
    <w:p w14:paraId="5FA18D04">
      <w:pPr>
        <w:keepNext w:val="0"/>
        <w:keepLines w:val="0"/>
        <w:widowControl/>
        <w:suppressLineNumbers w:val="0"/>
        <w:ind w:firstLine="420" w:firstLineChars="200"/>
        <w:jc w:val="left"/>
        <w:rPr>
          <w:rFonts w:hint="eastAsia" w:ascii="宋体" w:hAnsi="宋体" w:eastAsia="宋体" w:cs="宋体"/>
          <w:sz w:val="21"/>
          <w:szCs w:val="21"/>
        </w:rPr>
      </w:pPr>
      <w:r>
        <w:rPr>
          <w:rFonts w:hint="eastAsia" w:ascii="宋体" w:hAnsi="宋体" w:eastAsia="宋体" w:cs="宋体"/>
          <w:b w:val="0"/>
          <w:bCs w:val="0"/>
          <w:spacing w:val="0"/>
          <w:sz w:val="21"/>
          <w:szCs w:val="21"/>
        </w:rPr>
        <w:t>应符合《定量包装商品计量监督管理办法》的规定</w:t>
      </w:r>
      <w:r>
        <w:rPr>
          <w:rFonts w:hint="eastAsia" w:ascii="宋体" w:hAnsi="宋体" w:cs="宋体"/>
          <w:b w:val="0"/>
          <w:bCs w:val="0"/>
          <w:spacing w:val="0"/>
          <w:sz w:val="21"/>
          <w:szCs w:val="21"/>
          <w:lang w:val="en-US" w:eastAsia="zh-CN"/>
        </w:rPr>
        <w:t>,</w:t>
      </w:r>
      <w:r>
        <w:rPr>
          <w:rFonts w:hint="eastAsia" w:ascii="宋体" w:hAnsi="宋体" w:eastAsia="宋体" w:cs="宋体"/>
          <w:b w:val="0"/>
          <w:bCs w:val="0"/>
          <w:spacing w:val="0"/>
          <w:sz w:val="21"/>
          <w:szCs w:val="21"/>
        </w:rPr>
        <w:t>按JJF 1070的规定检验。</w:t>
      </w:r>
    </w:p>
    <w:p w14:paraId="0DB74C86">
      <w:pPr>
        <w:pStyle w:val="104"/>
        <w:spacing w:before="240" w:after="240"/>
      </w:pPr>
      <w:r>
        <w:t>评价要求</w:t>
      </w:r>
    </w:p>
    <w:p w14:paraId="745AE12C">
      <w:pPr>
        <w:pStyle w:val="105"/>
        <w:spacing w:before="120" w:after="120"/>
      </w:pPr>
      <w:r>
        <w:t>基本要求</w:t>
      </w:r>
    </w:p>
    <w:p w14:paraId="3655798B">
      <w:pPr>
        <w:pStyle w:val="165"/>
        <w:rPr>
          <w:color w:val="auto"/>
        </w:rPr>
      </w:pPr>
      <w:r>
        <w:rPr>
          <w:rFonts w:hint="eastAsia"/>
          <w:color w:val="auto"/>
        </w:rPr>
        <w:t>产地</w:t>
      </w:r>
      <w:r>
        <w:rPr>
          <w:rFonts w:hint="eastAsia"/>
          <w:color w:val="auto"/>
          <w:lang w:eastAsia="zh-CN"/>
        </w:rPr>
        <w:t>环境质量应符合</w:t>
      </w:r>
      <w:r>
        <w:rPr>
          <w:rFonts w:hint="eastAsia"/>
          <w:color w:val="auto"/>
          <w:lang w:val="en-US" w:eastAsia="zh-CN"/>
        </w:rPr>
        <w:t>NY/T 391的规定。</w:t>
      </w:r>
    </w:p>
    <w:p w14:paraId="2B24D53F">
      <w:pPr>
        <w:pStyle w:val="165"/>
        <w:rPr>
          <w:color w:val="auto"/>
        </w:rPr>
      </w:pPr>
      <w:r>
        <w:rPr>
          <w:rFonts w:hint="eastAsia"/>
          <w:color w:val="auto"/>
        </w:rPr>
        <w:t>生产技术</w:t>
      </w:r>
      <w:r>
        <w:rPr>
          <w:rFonts w:hint="eastAsia"/>
          <w:color w:val="auto"/>
          <w:lang w:eastAsia="zh-CN"/>
        </w:rPr>
        <w:t>规程应符合</w:t>
      </w:r>
      <w:r>
        <w:rPr>
          <w:rFonts w:hint="eastAsia"/>
          <w:color w:val="auto"/>
          <w:lang w:val="en-US" w:eastAsia="zh-CN"/>
        </w:rPr>
        <w:t>DB36/T 1417的规定。</w:t>
      </w:r>
    </w:p>
    <w:p w14:paraId="23582224">
      <w:pPr>
        <w:pStyle w:val="165"/>
        <w:rPr>
          <w:color w:val="auto"/>
        </w:rPr>
      </w:pPr>
      <w:r>
        <w:rPr>
          <w:rFonts w:hint="eastAsia"/>
          <w:color w:val="auto"/>
          <w:lang w:eastAsia="zh-CN"/>
        </w:rPr>
        <w:t>生产</w:t>
      </w:r>
      <w:r>
        <w:rPr>
          <w:rFonts w:hint="eastAsia"/>
          <w:color w:val="auto"/>
        </w:rPr>
        <w:t>企业应按照GB/T 22000、GB/T 24001的要求建立相应管理体系。</w:t>
      </w:r>
    </w:p>
    <w:p w14:paraId="399B5513">
      <w:pPr>
        <w:pStyle w:val="165"/>
        <w:rPr>
          <w:color w:val="auto"/>
        </w:rPr>
      </w:pPr>
      <w:r>
        <w:rPr>
          <w:rFonts w:hint="eastAsia"/>
          <w:color w:val="auto"/>
          <w:lang w:eastAsia="zh-CN"/>
        </w:rPr>
        <w:t>生产企业应</w:t>
      </w:r>
      <w:r>
        <w:rPr>
          <w:rFonts w:hint="eastAsia"/>
          <w:color w:val="auto"/>
        </w:rPr>
        <w:t>建立生产过程控制、运输、贮存等追溯信息。</w:t>
      </w:r>
    </w:p>
    <w:p w14:paraId="68674293">
      <w:pPr>
        <w:pStyle w:val="165"/>
        <w:rPr>
          <w:color w:val="auto"/>
        </w:rPr>
      </w:pPr>
      <w:r>
        <w:rPr>
          <w:rFonts w:hint="eastAsia"/>
          <w:color w:val="auto"/>
        </w:rPr>
        <w:t>产品销售</w:t>
      </w:r>
      <w:r>
        <w:rPr>
          <w:rFonts w:hint="eastAsia"/>
          <w:color w:val="auto"/>
          <w:lang w:eastAsia="zh-CN"/>
        </w:rPr>
        <w:t>预</w:t>
      </w:r>
      <w:r>
        <w:rPr>
          <w:rFonts w:hint="eastAsia"/>
          <w:color w:val="auto"/>
        </w:rPr>
        <w:t>包装标签应符合GB 7718的规定。</w:t>
      </w:r>
    </w:p>
    <w:p w14:paraId="5C5D18D2">
      <w:pPr>
        <w:pStyle w:val="165"/>
        <w:numPr>
          <w:ilvl w:val="3"/>
          <w:numId w:val="0"/>
        </w:numPr>
        <w:ind w:left="210" w:leftChars="0" w:hanging="210" w:hangingChars="100"/>
        <w:rPr>
          <w:rFonts w:hint="eastAsia"/>
          <w:color w:val="auto"/>
          <w:lang w:eastAsia="zh-CN"/>
        </w:rPr>
      </w:pPr>
      <w:r>
        <w:rPr>
          <w:rFonts w:hint="eastAsia" w:ascii="黑体" w:hAnsi="黑体" w:eastAsia="黑体" w:cs="黑体"/>
          <w:color w:val="auto"/>
          <w:lang w:val="en-US" w:eastAsia="zh-CN"/>
        </w:rPr>
        <w:t xml:space="preserve">5.1.6 </w:t>
      </w:r>
      <w:r>
        <w:rPr>
          <w:rFonts w:hint="eastAsia"/>
          <w:color w:val="auto"/>
          <w:lang w:val="en-US" w:eastAsia="zh-CN"/>
        </w:rPr>
        <w:t xml:space="preserve"> </w:t>
      </w:r>
      <w:r>
        <w:rPr>
          <w:rFonts w:hint="eastAsia"/>
          <w:color w:val="auto"/>
        </w:rPr>
        <w:t>产品外包装应符合GB/T 191</w:t>
      </w:r>
      <w:r>
        <w:rPr>
          <w:rFonts w:hint="eastAsia"/>
          <w:color w:val="auto"/>
          <w:lang w:eastAsia="zh-CN"/>
        </w:rPr>
        <w:t>的</w:t>
      </w:r>
      <w:r>
        <w:rPr>
          <w:rFonts w:hint="eastAsia"/>
          <w:color w:val="auto"/>
        </w:rPr>
        <w:t>规定</w:t>
      </w:r>
      <w:r>
        <w:rPr>
          <w:rFonts w:hint="eastAsia"/>
          <w:color w:val="auto"/>
          <w:lang w:eastAsia="zh-CN"/>
        </w:rPr>
        <w:t>，</w:t>
      </w:r>
      <w:r>
        <w:rPr>
          <w:rFonts w:hint="eastAsia"/>
          <w:color w:val="auto"/>
        </w:rPr>
        <w:t>包装或标签上</w:t>
      </w:r>
      <w:r>
        <w:rPr>
          <w:rFonts w:hint="eastAsia"/>
          <w:color w:val="auto"/>
          <w:lang w:eastAsia="zh-CN"/>
        </w:rPr>
        <w:t>应</w:t>
      </w:r>
      <w:r>
        <w:rPr>
          <w:rFonts w:hint="eastAsia"/>
          <w:color w:val="auto"/>
        </w:rPr>
        <w:t>标明产品名称、</w:t>
      </w:r>
      <w:r>
        <w:rPr>
          <w:rFonts w:hint="eastAsia"/>
          <w:color w:val="auto"/>
          <w:lang w:eastAsia="zh-CN"/>
        </w:rPr>
        <w:t>质量等级</w:t>
      </w:r>
      <w:r>
        <w:rPr>
          <w:rFonts w:hint="eastAsia"/>
          <w:color w:val="auto"/>
        </w:rPr>
        <w:t>、净含量、</w:t>
      </w:r>
      <w:r>
        <w:rPr>
          <w:rFonts w:hint="eastAsia"/>
          <w:color w:val="auto"/>
          <w:lang w:eastAsia="zh-CN"/>
        </w:rPr>
        <w:t>采用</w:t>
      </w:r>
    </w:p>
    <w:p w14:paraId="03EE3C87">
      <w:pPr>
        <w:pStyle w:val="165"/>
        <w:numPr>
          <w:ilvl w:val="3"/>
          <w:numId w:val="0"/>
        </w:numPr>
        <w:ind w:left="210" w:leftChars="0" w:hanging="210" w:hangingChars="100"/>
        <w:rPr>
          <w:color w:val="00B0F0"/>
        </w:rPr>
      </w:pPr>
      <w:r>
        <w:rPr>
          <w:rFonts w:hint="eastAsia"/>
          <w:color w:val="auto"/>
        </w:rPr>
        <w:t>标准号、采收日期、保质期</w:t>
      </w:r>
      <w:r>
        <w:rPr>
          <w:rFonts w:hint="eastAsia"/>
          <w:color w:val="auto"/>
          <w:lang w:eastAsia="zh-CN"/>
        </w:rPr>
        <w:t>、</w:t>
      </w:r>
      <w:r>
        <w:rPr>
          <w:rFonts w:hint="eastAsia"/>
          <w:color w:val="auto"/>
        </w:rPr>
        <w:t>产地</w:t>
      </w:r>
      <w:r>
        <w:rPr>
          <w:rFonts w:hint="eastAsia"/>
          <w:color w:val="auto"/>
          <w:lang w:eastAsia="zh-CN"/>
        </w:rPr>
        <w:t>、</w:t>
      </w:r>
      <w:r>
        <w:rPr>
          <w:rFonts w:hint="eastAsia"/>
          <w:color w:val="auto"/>
        </w:rPr>
        <w:t>生产单位</w:t>
      </w:r>
      <w:r>
        <w:rPr>
          <w:rFonts w:hint="eastAsia"/>
          <w:color w:val="auto"/>
          <w:lang w:eastAsia="zh-CN"/>
        </w:rPr>
        <w:t>等信息</w:t>
      </w:r>
      <w:r>
        <w:rPr>
          <w:rFonts w:hint="eastAsia"/>
          <w:color w:val="auto"/>
        </w:rPr>
        <w:t>。运输收发货标志符合GB/T 6388</w:t>
      </w:r>
      <w:r>
        <w:rPr>
          <w:rFonts w:hint="eastAsia"/>
          <w:color w:val="auto"/>
          <w:lang w:eastAsia="zh-CN"/>
        </w:rPr>
        <w:t>的</w:t>
      </w:r>
      <w:r>
        <w:rPr>
          <w:rFonts w:hint="eastAsia"/>
          <w:color w:val="auto"/>
        </w:rPr>
        <w:t>规定。</w:t>
      </w:r>
    </w:p>
    <w:p w14:paraId="0CBB1F66">
      <w:pPr>
        <w:pStyle w:val="165"/>
      </w:pPr>
      <w:r>
        <w:rPr>
          <w:rFonts w:hint="eastAsia"/>
          <w:lang w:eastAsia="zh-CN"/>
        </w:rPr>
        <w:t>产品</w:t>
      </w:r>
      <w:r>
        <w:rPr>
          <w:rFonts w:hint="eastAsia"/>
        </w:rPr>
        <w:t>内包装材料</w:t>
      </w:r>
      <w:r>
        <w:rPr>
          <w:rFonts w:hint="eastAsia"/>
          <w:lang w:eastAsia="zh-CN"/>
        </w:rPr>
        <w:t>应</w:t>
      </w:r>
      <w:r>
        <w:rPr>
          <w:rFonts w:hint="eastAsia"/>
        </w:rPr>
        <w:t>符合GB 4806.6、GB 4806.7、GB 4806.8、GB 4806.9和</w:t>
      </w:r>
      <w:r>
        <w:rPr>
          <w:rFonts w:hint="eastAsia"/>
          <w:color w:val="auto"/>
        </w:rPr>
        <w:t xml:space="preserve">GB </w:t>
      </w:r>
      <w:r>
        <w:rPr>
          <w:rFonts w:hint="eastAsia"/>
          <w:color w:val="auto"/>
          <w:lang w:val="en-US" w:eastAsia="zh-CN"/>
        </w:rPr>
        <w:t>4806.13</w:t>
      </w:r>
      <w:r>
        <w:rPr>
          <w:rFonts w:hint="eastAsia"/>
        </w:rPr>
        <w:t>的规定。采用散装或容器包装</w:t>
      </w:r>
      <w:r>
        <w:rPr>
          <w:rFonts w:hint="eastAsia"/>
          <w:color w:val="00B050"/>
          <w:lang w:eastAsia="zh-CN"/>
        </w:rPr>
        <w:t>，</w:t>
      </w:r>
      <w:r>
        <w:rPr>
          <w:rFonts w:hint="eastAsia"/>
        </w:rPr>
        <w:t>包装容器(筐、袋、箱等)应整洁、牢固、透气、无污染、无异味、无霉变。</w:t>
      </w:r>
    </w:p>
    <w:p w14:paraId="2AD349DA">
      <w:pPr>
        <w:pStyle w:val="165"/>
      </w:pPr>
      <w:r>
        <w:rPr>
          <w:rFonts w:hint="eastAsia"/>
        </w:rPr>
        <w:t>产品应储存在清洁通风、阴凉干燥的仓库内，堆放应离地20cm</w:t>
      </w:r>
      <w:r>
        <w:rPr>
          <w:rFonts w:hint="eastAsia" w:ascii="宋体" w:hAnsi="宋体" w:eastAsia="宋体" w:cs="宋体"/>
          <w:color w:val="auto"/>
        </w:rPr>
        <w:t>~</w:t>
      </w:r>
      <w:r>
        <w:rPr>
          <w:rFonts w:hint="eastAsia"/>
        </w:rPr>
        <w:t>25cm</w:t>
      </w:r>
      <w:r>
        <w:rPr>
          <w:rFonts w:hint="eastAsia"/>
          <w:lang w:eastAsia="zh-CN"/>
        </w:rPr>
        <w:t>、</w:t>
      </w:r>
      <w:r>
        <w:rPr>
          <w:rFonts w:hint="eastAsia"/>
        </w:rPr>
        <w:t>离墙30cm以上，应有防鼠害、防虫害措施，严禁与有毒、有害、有异味、易挥发、易腐蚀物品混</w:t>
      </w:r>
      <w:r>
        <w:rPr>
          <w:rFonts w:hint="eastAsia"/>
          <w:lang w:eastAsia="zh-CN"/>
        </w:rPr>
        <w:t>放、</w:t>
      </w:r>
      <w:r>
        <w:rPr>
          <w:rFonts w:hint="eastAsia"/>
        </w:rPr>
        <w:t>储存。</w:t>
      </w:r>
    </w:p>
    <w:p w14:paraId="41D49615">
      <w:pPr>
        <w:pStyle w:val="165"/>
      </w:pPr>
      <w:r>
        <w:rPr>
          <w:rFonts w:hint="eastAsia"/>
        </w:rPr>
        <w:t>产品的保质期自</w:t>
      </w:r>
      <w:r>
        <w:rPr>
          <w:rFonts w:hint="eastAsia"/>
          <w:color w:val="auto"/>
          <w:lang w:eastAsia="zh-CN"/>
        </w:rPr>
        <w:t>采收</w:t>
      </w:r>
      <w:r>
        <w:rPr>
          <w:rFonts w:hint="eastAsia"/>
        </w:rPr>
        <w:t>之日起，应根据包装材质和加工要求储藏。</w:t>
      </w:r>
    </w:p>
    <w:p w14:paraId="482E3AEF">
      <w:pPr>
        <w:pStyle w:val="165"/>
      </w:pPr>
      <w:r>
        <w:rPr>
          <w:rFonts w:hint="eastAsia"/>
        </w:rPr>
        <w:t>运输过程中应采取防冻、防晒、保湿、通风散热及防止污染措施。鲜</w:t>
      </w:r>
      <w:r>
        <w:rPr>
          <w:rFonts w:hint="eastAsia"/>
          <w:lang w:eastAsia="zh-CN"/>
        </w:rPr>
        <w:t>果</w:t>
      </w:r>
      <w:r>
        <w:rPr>
          <w:rFonts w:hint="eastAsia"/>
        </w:rPr>
        <w:t>运输前还应进行预冷，运输和储藏时应保持适当的温湿度，不得露天堆放。</w:t>
      </w:r>
    </w:p>
    <w:p w14:paraId="3A967EB7">
      <w:pPr>
        <w:pStyle w:val="104"/>
        <w:spacing w:before="240" w:after="240"/>
      </w:pPr>
      <w:r>
        <w:t>评价指标</w:t>
      </w:r>
    </w:p>
    <w:p w14:paraId="08363056">
      <w:pPr>
        <w:pStyle w:val="162"/>
      </w:pPr>
      <w:r>
        <w:rPr>
          <w:rFonts w:hint="eastAsia"/>
        </w:rPr>
        <w:t>对符合本文件第4章基本要求的</w:t>
      </w:r>
      <w:r>
        <w:rPr>
          <w:rFonts w:hint="eastAsia"/>
          <w:lang w:eastAsia="zh-CN"/>
        </w:rPr>
        <w:t>会昌桔柚</w:t>
      </w:r>
      <w:r>
        <w:rPr>
          <w:rFonts w:hint="eastAsia"/>
        </w:rPr>
        <w:t>，认证机构应依据表</w:t>
      </w:r>
      <w:r>
        <w:rPr>
          <w:rFonts w:hint="eastAsia"/>
          <w:lang w:val="en-US" w:eastAsia="zh-CN"/>
        </w:rPr>
        <w:t>3</w:t>
      </w:r>
      <w:r>
        <w:rPr>
          <w:rFonts w:hint="eastAsia"/>
        </w:rPr>
        <w:t xml:space="preserve">的要求开展“江西绿色生态 </w:t>
      </w:r>
      <w:r>
        <w:rPr>
          <w:rFonts w:hint="eastAsia"/>
          <w:lang w:eastAsia="zh-CN"/>
        </w:rPr>
        <w:t>会昌桔柚</w:t>
      </w:r>
      <w:r>
        <w:rPr>
          <w:rFonts w:hint="eastAsia"/>
        </w:rPr>
        <w:t>”评价和认证。</w:t>
      </w:r>
    </w:p>
    <w:p w14:paraId="51729793">
      <w:pPr>
        <w:pStyle w:val="112"/>
        <w:numPr>
          <w:ilvl w:val="0"/>
          <w:numId w:val="0"/>
        </w:numPr>
        <w:spacing w:before="120" w:after="120"/>
        <w:ind w:leftChars="0"/>
        <w:jc w:val="center"/>
        <w:rPr>
          <w:color w:val="auto"/>
        </w:rPr>
      </w:pPr>
      <w:r>
        <w:rPr>
          <w:rFonts w:hint="eastAsia"/>
          <w:color w:val="auto"/>
          <w:lang w:eastAsia="zh-CN"/>
        </w:rPr>
        <w:t>表</w:t>
      </w:r>
      <w:r>
        <w:rPr>
          <w:rFonts w:hint="eastAsia"/>
          <w:color w:val="auto"/>
          <w:lang w:val="en-US" w:eastAsia="zh-CN"/>
        </w:rPr>
        <w:t xml:space="preserve">3  </w:t>
      </w:r>
      <w:r>
        <w:rPr>
          <w:rFonts w:hint="eastAsia"/>
          <w:color w:val="auto"/>
        </w:rPr>
        <w:t>“江西绿色生态</w:t>
      </w:r>
      <w:r>
        <w:rPr>
          <w:rFonts w:hint="eastAsia"/>
          <w:color w:val="auto"/>
          <w:lang w:val="en-US" w:eastAsia="zh-CN"/>
        </w:rPr>
        <w:t xml:space="preserve">  会昌桔柚</w:t>
      </w:r>
      <w:r>
        <w:rPr>
          <w:rFonts w:hint="eastAsia"/>
          <w:color w:val="auto"/>
        </w:rPr>
        <w:t>” 评价指标</w:t>
      </w:r>
    </w:p>
    <w:tbl>
      <w:tblPr>
        <w:tblStyle w:val="27"/>
        <w:tblW w:w="941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7" w:type="dxa"/>
          <w:bottom w:w="0" w:type="dxa"/>
          <w:right w:w="57" w:type="dxa"/>
        </w:tblCellMar>
      </w:tblPr>
      <w:tblGrid>
        <w:gridCol w:w="577"/>
        <w:gridCol w:w="1017"/>
        <w:gridCol w:w="928"/>
        <w:gridCol w:w="4596"/>
        <w:gridCol w:w="2296"/>
      </w:tblGrid>
      <w:tr w14:paraId="7441E6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blHeader/>
          <w:jc w:val="center"/>
        </w:trPr>
        <w:tc>
          <w:tcPr>
            <w:tcW w:w="577" w:type="dxa"/>
            <w:tcBorders>
              <w:top w:val="single" w:color="auto" w:sz="8" w:space="0"/>
              <w:bottom w:val="single" w:color="auto" w:sz="8" w:space="0"/>
            </w:tcBorders>
            <w:shd w:val="clear" w:color="auto" w:fill="auto"/>
            <w:vAlign w:val="center"/>
          </w:tcPr>
          <w:p w14:paraId="6FBCF35F">
            <w:pPr>
              <w:pStyle w:val="178"/>
              <w:rPr>
                <w:rFonts w:hint="eastAsia" w:ascii="黑体" w:hAnsi="黑体" w:eastAsia="黑体" w:cs="黑体"/>
              </w:rPr>
            </w:pPr>
            <w:r>
              <w:rPr>
                <w:rFonts w:hint="eastAsia" w:ascii="黑体" w:hAnsi="黑体" w:eastAsia="黑体" w:cs="黑体"/>
              </w:rPr>
              <w:t>序号</w:t>
            </w:r>
          </w:p>
        </w:tc>
        <w:tc>
          <w:tcPr>
            <w:tcW w:w="1017" w:type="dxa"/>
            <w:tcBorders>
              <w:top w:val="single" w:color="auto" w:sz="8" w:space="0"/>
              <w:bottom w:val="single" w:color="auto" w:sz="8" w:space="0"/>
            </w:tcBorders>
            <w:shd w:val="clear" w:color="auto" w:fill="auto"/>
            <w:vAlign w:val="center"/>
          </w:tcPr>
          <w:p w14:paraId="52FB8733">
            <w:pPr>
              <w:pStyle w:val="178"/>
              <w:rPr>
                <w:rFonts w:hint="eastAsia" w:ascii="黑体" w:hAnsi="黑体" w:eastAsia="黑体" w:cs="黑体"/>
              </w:rPr>
            </w:pPr>
            <w:r>
              <w:rPr>
                <w:rFonts w:hint="eastAsia" w:ascii="黑体" w:hAnsi="黑体" w:eastAsia="黑体" w:cs="黑体"/>
              </w:rPr>
              <w:t>一级指标</w:t>
            </w:r>
          </w:p>
        </w:tc>
        <w:tc>
          <w:tcPr>
            <w:tcW w:w="5524" w:type="dxa"/>
            <w:gridSpan w:val="2"/>
            <w:tcBorders>
              <w:top w:val="single" w:color="auto" w:sz="8" w:space="0"/>
              <w:bottom w:val="single" w:color="auto" w:sz="8" w:space="0"/>
            </w:tcBorders>
            <w:shd w:val="clear" w:color="auto" w:fill="auto"/>
            <w:vAlign w:val="center"/>
          </w:tcPr>
          <w:p w14:paraId="040FBC7C">
            <w:pPr>
              <w:pStyle w:val="178"/>
              <w:rPr>
                <w:rFonts w:hint="eastAsia" w:ascii="黑体" w:hAnsi="黑体" w:eastAsia="黑体" w:cs="黑体"/>
              </w:rPr>
            </w:pPr>
            <w:r>
              <w:rPr>
                <w:rFonts w:hint="eastAsia" w:ascii="黑体" w:hAnsi="黑体" w:eastAsia="黑体" w:cs="黑体"/>
              </w:rPr>
              <w:t>二级指标</w:t>
            </w:r>
          </w:p>
        </w:tc>
        <w:tc>
          <w:tcPr>
            <w:tcW w:w="2296" w:type="dxa"/>
            <w:tcBorders>
              <w:top w:val="single" w:color="auto" w:sz="8" w:space="0"/>
              <w:bottom w:val="single" w:color="auto" w:sz="8" w:space="0"/>
            </w:tcBorders>
          </w:tcPr>
          <w:p w14:paraId="37B2E813">
            <w:pPr>
              <w:pStyle w:val="178"/>
              <w:rPr>
                <w:rFonts w:hint="eastAsia" w:ascii="黑体" w:hAnsi="黑体" w:eastAsia="黑体" w:cs="黑体"/>
              </w:rPr>
            </w:pPr>
            <w:r>
              <w:rPr>
                <w:rFonts w:hint="eastAsia" w:ascii="黑体" w:hAnsi="黑体" w:eastAsia="黑体" w:cs="黑体"/>
              </w:rPr>
              <w:t>评价方法</w:t>
            </w:r>
          </w:p>
        </w:tc>
      </w:tr>
      <w:tr w14:paraId="032DDA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306" w:hRule="atLeast"/>
          <w:jc w:val="center"/>
        </w:trPr>
        <w:tc>
          <w:tcPr>
            <w:tcW w:w="577" w:type="dxa"/>
            <w:tcBorders>
              <w:top w:val="single" w:color="auto" w:sz="8" w:space="0"/>
            </w:tcBorders>
            <w:shd w:val="clear" w:color="auto" w:fill="auto"/>
            <w:vAlign w:val="center"/>
          </w:tcPr>
          <w:p w14:paraId="308BFEE6">
            <w:pPr>
              <w:pStyle w:val="178"/>
            </w:pPr>
            <w:r>
              <w:rPr>
                <w:rFonts w:hint="eastAsia"/>
              </w:rPr>
              <w:t>1</w:t>
            </w:r>
          </w:p>
        </w:tc>
        <w:tc>
          <w:tcPr>
            <w:tcW w:w="1017" w:type="dxa"/>
            <w:vMerge w:val="restart"/>
            <w:tcBorders>
              <w:top w:val="single" w:color="auto" w:sz="8" w:space="0"/>
            </w:tcBorders>
            <w:shd w:val="clear" w:color="auto" w:fill="auto"/>
            <w:vAlign w:val="center"/>
          </w:tcPr>
          <w:p w14:paraId="157BB047">
            <w:pPr>
              <w:pStyle w:val="178"/>
            </w:pPr>
            <w:r>
              <w:t>资源节约</w:t>
            </w:r>
          </w:p>
        </w:tc>
        <w:tc>
          <w:tcPr>
            <w:tcW w:w="5524" w:type="dxa"/>
            <w:gridSpan w:val="2"/>
            <w:tcBorders>
              <w:top w:val="single" w:color="auto" w:sz="8" w:space="0"/>
            </w:tcBorders>
            <w:shd w:val="clear" w:color="auto" w:fill="auto"/>
            <w:vAlign w:val="center"/>
          </w:tcPr>
          <w:p w14:paraId="13B4D46A">
            <w:pPr>
              <w:pStyle w:val="178"/>
              <w:jc w:val="left"/>
            </w:pPr>
            <w:r>
              <w:rPr>
                <w:rFonts w:hint="eastAsia"/>
              </w:rPr>
              <w:t>农药的选择和使用符合NY/T 393规定</w:t>
            </w:r>
          </w:p>
        </w:tc>
        <w:tc>
          <w:tcPr>
            <w:tcW w:w="2296" w:type="dxa"/>
            <w:vMerge w:val="restart"/>
            <w:tcBorders>
              <w:top w:val="single" w:color="auto" w:sz="8" w:space="0"/>
            </w:tcBorders>
            <w:vAlign w:val="center"/>
          </w:tcPr>
          <w:p w14:paraId="3B9630AC">
            <w:pPr>
              <w:pStyle w:val="178"/>
              <w:jc w:val="left"/>
            </w:pPr>
            <w:r>
              <w:rPr>
                <w:rFonts w:hint="eastAsia"/>
              </w:rPr>
              <w:t>查看能源计量使用记录、生产管理制度文件、生产记录，采购凭证，实地走访</w:t>
            </w:r>
          </w:p>
        </w:tc>
      </w:tr>
      <w:tr w14:paraId="207F9D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564" w:hRule="atLeast"/>
          <w:jc w:val="center"/>
        </w:trPr>
        <w:tc>
          <w:tcPr>
            <w:tcW w:w="577" w:type="dxa"/>
            <w:shd w:val="clear" w:color="auto" w:fill="auto"/>
            <w:vAlign w:val="center"/>
          </w:tcPr>
          <w:p w14:paraId="3C63AE89">
            <w:pPr>
              <w:pStyle w:val="178"/>
            </w:pPr>
            <w:r>
              <w:rPr>
                <w:rFonts w:hint="eastAsia"/>
              </w:rPr>
              <w:t>2</w:t>
            </w:r>
          </w:p>
        </w:tc>
        <w:tc>
          <w:tcPr>
            <w:tcW w:w="1017" w:type="dxa"/>
            <w:vMerge w:val="continue"/>
            <w:shd w:val="clear" w:color="auto" w:fill="auto"/>
            <w:vAlign w:val="center"/>
          </w:tcPr>
          <w:p w14:paraId="18ED507A">
            <w:pPr>
              <w:pStyle w:val="178"/>
            </w:pPr>
          </w:p>
        </w:tc>
        <w:tc>
          <w:tcPr>
            <w:tcW w:w="5524" w:type="dxa"/>
            <w:gridSpan w:val="2"/>
            <w:shd w:val="clear" w:color="auto" w:fill="auto"/>
            <w:vAlign w:val="center"/>
          </w:tcPr>
          <w:p w14:paraId="10A1C73C">
            <w:pPr>
              <w:pStyle w:val="178"/>
              <w:jc w:val="left"/>
            </w:pPr>
            <w:r>
              <w:rPr>
                <w:rFonts w:hint="eastAsia"/>
              </w:rPr>
              <w:t>肥料使用符合NY/T 394、NY/T 496规定，提倡使用有机肥，控制化肥施用，平衡施肥</w:t>
            </w:r>
          </w:p>
        </w:tc>
        <w:tc>
          <w:tcPr>
            <w:tcW w:w="2296" w:type="dxa"/>
            <w:vMerge w:val="continue"/>
          </w:tcPr>
          <w:p w14:paraId="7910881E">
            <w:pPr>
              <w:pStyle w:val="178"/>
              <w:jc w:val="left"/>
            </w:pPr>
          </w:p>
        </w:tc>
      </w:tr>
      <w:tr w14:paraId="6A8256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504" w:hRule="atLeast"/>
          <w:jc w:val="center"/>
        </w:trPr>
        <w:tc>
          <w:tcPr>
            <w:tcW w:w="577" w:type="dxa"/>
            <w:shd w:val="clear" w:color="auto" w:fill="auto"/>
            <w:vAlign w:val="center"/>
          </w:tcPr>
          <w:p w14:paraId="6D98B048">
            <w:pPr>
              <w:pStyle w:val="178"/>
            </w:pPr>
            <w:r>
              <w:rPr>
                <w:rFonts w:hint="eastAsia"/>
              </w:rPr>
              <w:t>3</w:t>
            </w:r>
          </w:p>
        </w:tc>
        <w:tc>
          <w:tcPr>
            <w:tcW w:w="1017" w:type="dxa"/>
            <w:vMerge w:val="continue"/>
            <w:shd w:val="clear" w:color="auto" w:fill="auto"/>
            <w:vAlign w:val="center"/>
          </w:tcPr>
          <w:p w14:paraId="1CC4837D">
            <w:pPr>
              <w:pStyle w:val="178"/>
            </w:pPr>
          </w:p>
        </w:tc>
        <w:tc>
          <w:tcPr>
            <w:tcW w:w="5524" w:type="dxa"/>
            <w:gridSpan w:val="2"/>
            <w:shd w:val="clear" w:color="auto" w:fill="auto"/>
            <w:vAlign w:val="center"/>
          </w:tcPr>
          <w:p w14:paraId="11E71693">
            <w:pPr>
              <w:pStyle w:val="178"/>
              <w:jc w:val="left"/>
            </w:pPr>
            <w:r>
              <w:rPr>
                <w:rFonts w:hint="eastAsia"/>
              </w:rPr>
              <w:t>按照GB/T 33635要求对原料采购、储存、运输环节做好防护，减少原材料损失</w:t>
            </w:r>
          </w:p>
        </w:tc>
        <w:tc>
          <w:tcPr>
            <w:tcW w:w="2296" w:type="dxa"/>
            <w:vMerge w:val="continue"/>
          </w:tcPr>
          <w:p w14:paraId="3450DE0E">
            <w:pPr>
              <w:pStyle w:val="178"/>
              <w:jc w:val="left"/>
            </w:pPr>
          </w:p>
        </w:tc>
      </w:tr>
      <w:tr w14:paraId="052BA5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231" w:hRule="atLeast"/>
          <w:jc w:val="center"/>
        </w:trPr>
        <w:tc>
          <w:tcPr>
            <w:tcW w:w="577" w:type="dxa"/>
            <w:shd w:val="clear" w:color="auto" w:fill="auto"/>
            <w:vAlign w:val="center"/>
          </w:tcPr>
          <w:p w14:paraId="5EE9A221">
            <w:pPr>
              <w:pStyle w:val="178"/>
            </w:pPr>
            <w:r>
              <w:rPr>
                <w:rFonts w:hint="eastAsia"/>
              </w:rPr>
              <w:t>4</w:t>
            </w:r>
          </w:p>
        </w:tc>
        <w:tc>
          <w:tcPr>
            <w:tcW w:w="1017" w:type="dxa"/>
            <w:vMerge w:val="continue"/>
            <w:shd w:val="clear" w:color="auto" w:fill="auto"/>
            <w:vAlign w:val="center"/>
          </w:tcPr>
          <w:p w14:paraId="316AF224">
            <w:pPr>
              <w:pStyle w:val="178"/>
            </w:pPr>
          </w:p>
        </w:tc>
        <w:tc>
          <w:tcPr>
            <w:tcW w:w="5524" w:type="dxa"/>
            <w:gridSpan w:val="2"/>
            <w:shd w:val="clear" w:color="auto" w:fill="auto"/>
            <w:vAlign w:val="center"/>
          </w:tcPr>
          <w:p w14:paraId="40BF1D42">
            <w:pPr>
              <w:widowControl/>
              <w:jc w:val="left"/>
            </w:pPr>
            <w:r>
              <w:rPr>
                <w:rFonts w:hint="eastAsia" w:ascii="宋体" w:hAnsi="宋体" w:cs="宋体"/>
                <w:color w:val="000000"/>
                <w:kern w:val="0"/>
                <w:sz w:val="18"/>
                <w:szCs w:val="18"/>
                <w:lang w:bidi="ar"/>
              </w:rPr>
              <w:t>应采取节地栽培、节水灌溉等措施，提高农用地和水资源利用率</w:t>
            </w:r>
          </w:p>
        </w:tc>
        <w:tc>
          <w:tcPr>
            <w:tcW w:w="2296" w:type="dxa"/>
            <w:vMerge w:val="continue"/>
          </w:tcPr>
          <w:p w14:paraId="5D6E6F43">
            <w:pPr>
              <w:pStyle w:val="178"/>
              <w:jc w:val="left"/>
            </w:pPr>
          </w:p>
        </w:tc>
      </w:tr>
      <w:tr w14:paraId="0C1415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371" w:hRule="atLeast"/>
          <w:jc w:val="center"/>
        </w:trPr>
        <w:tc>
          <w:tcPr>
            <w:tcW w:w="577" w:type="dxa"/>
            <w:shd w:val="clear" w:color="auto" w:fill="auto"/>
            <w:vAlign w:val="center"/>
          </w:tcPr>
          <w:p w14:paraId="5171FAAB">
            <w:pPr>
              <w:pStyle w:val="178"/>
            </w:pPr>
            <w:r>
              <w:rPr>
                <w:rFonts w:hint="eastAsia"/>
              </w:rPr>
              <w:t>5</w:t>
            </w:r>
          </w:p>
        </w:tc>
        <w:tc>
          <w:tcPr>
            <w:tcW w:w="1017" w:type="dxa"/>
            <w:vMerge w:val="continue"/>
            <w:shd w:val="clear" w:color="auto" w:fill="auto"/>
            <w:vAlign w:val="center"/>
          </w:tcPr>
          <w:p w14:paraId="2F750A6B">
            <w:pPr>
              <w:pStyle w:val="178"/>
            </w:pPr>
          </w:p>
        </w:tc>
        <w:tc>
          <w:tcPr>
            <w:tcW w:w="5524" w:type="dxa"/>
            <w:gridSpan w:val="2"/>
            <w:shd w:val="clear" w:color="auto" w:fill="auto"/>
            <w:vAlign w:val="center"/>
          </w:tcPr>
          <w:p w14:paraId="41135AC0">
            <w:pPr>
              <w:pStyle w:val="178"/>
              <w:jc w:val="left"/>
            </w:pPr>
            <w:r>
              <w:rPr>
                <w:rFonts w:hint="eastAsia"/>
              </w:rPr>
              <w:t>应按照GB/T 34805的要求对</w:t>
            </w:r>
            <w:r>
              <w:rPr>
                <w:rFonts w:hint="eastAsia"/>
                <w:lang w:eastAsia="zh-CN"/>
              </w:rPr>
              <w:t>农业废弃物还田，</w:t>
            </w:r>
            <w:r>
              <w:rPr>
                <w:rFonts w:hint="eastAsia"/>
              </w:rPr>
              <w:t>进行循环利用</w:t>
            </w:r>
          </w:p>
        </w:tc>
        <w:tc>
          <w:tcPr>
            <w:tcW w:w="2296" w:type="dxa"/>
            <w:vMerge w:val="continue"/>
          </w:tcPr>
          <w:p w14:paraId="3606FDBB">
            <w:pPr>
              <w:pStyle w:val="178"/>
              <w:jc w:val="left"/>
            </w:pPr>
          </w:p>
        </w:tc>
      </w:tr>
      <w:tr w14:paraId="4B8FA5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540" w:hRule="atLeast"/>
          <w:jc w:val="center"/>
        </w:trPr>
        <w:tc>
          <w:tcPr>
            <w:tcW w:w="577" w:type="dxa"/>
            <w:shd w:val="clear" w:color="auto" w:fill="auto"/>
            <w:vAlign w:val="center"/>
          </w:tcPr>
          <w:p w14:paraId="083418DB">
            <w:pPr>
              <w:pStyle w:val="178"/>
            </w:pPr>
            <w:r>
              <w:rPr>
                <w:rFonts w:hint="eastAsia"/>
              </w:rPr>
              <w:t>6</w:t>
            </w:r>
          </w:p>
        </w:tc>
        <w:tc>
          <w:tcPr>
            <w:tcW w:w="1017" w:type="dxa"/>
            <w:vMerge w:val="continue"/>
            <w:shd w:val="clear" w:color="auto" w:fill="auto"/>
            <w:vAlign w:val="center"/>
          </w:tcPr>
          <w:p w14:paraId="0807C0C7">
            <w:pPr>
              <w:pStyle w:val="178"/>
            </w:pPr>
          </w:p>
        </w:tc>
        <w:tc>
          <w:tcPr>
            <w:tcW w:w="5524" w:type="dxa"/>
            <w:gridSpan w:val="2"/>
            <w:shd w:val="clear" w:color="auto" w:fill="auto"/>
            <w:vAlign w:val="center"/>
          </w:tcPr>
          <w:p w14:paraId="1DD106EA">
            <w:pPr>
              <w:pStyle w:val="178"/>
              <w:jc w:val="left"/>
            </w:pPr>
            <w:r>
              <w:rPr>
                <w:rFonts w:hint="eastAsia"/>
              </w:rPr>
              <w:t>包装应符合NY/T 658和GB 23350的要求，包装材料尽量采用可再生利用或可降解材料</w:t>
            </w:r>
          </w:p>
        </w:tc>
        <w:tc>
          <w:tcPr>
            <w:tcW w:w="2296" w:type="dxa"/>
            <w:vMerge w:val="continue"/>
          </w:tcPr>
          <w:p w14:paraId="4DDD27C0">
            <w:pPr>
              <w:pStyle w:val="178"/>
              <w:jc w:val="left"/>
            </w:pPr>
          </w:p>
        </w:tc>
      </w:tr>
      <w:tr w14:paraId="11052A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412" w:hRule="atLeast"/>
          <w:jc w:val="center"/>
        </w:trPr>
        <w:tc>
          <w:tcPr>
            <w:tcW w:w="577" w:type="dxa"/>
            <w:shd w:val="clear" w:color="auto" w:fill="auto"/>
            <w:vAlign w:val="center"/>
          </w:tcPr>
          <w:p w14:paraId="77130AF3">
            <w:pPr>
              <w:pStyle w:val="178"/>
            </w:pPr>
            <w:r>
              <w:rPr>
                <w:rFonts w:hint="eastAsia"/>
              </w:rPr>
              <w:t>7</w:t>
            </w:r>
          </w:p>
        </w:tc>
        <w:tc>
          <w:tcPr>
            <w:tcW w:w="1017" w:type="dxa"/>
            <w:vMerge w:val="restart"/>
            <w:shd w:val="clear" w:color="auto" w:fill="auto"/>
            <w:vAlign w:val="center"/>
          </w:tcPr>
          <w:p w14:paraId="3EB323F1">
            <w:pPr>
              <w:pStyle w:val="178"/>
            </w:pPr>
            <w:r>
              <w:t>环境保护</w:t>
            </w:r>
          </w:p>
        </w:tc>
        <w:tc>
          <w:tcPr>
            <w:tcW w:w="5524" w:type="dxa"/>
            <w:gridSpan w:val="2"/>
            <w:shd w:val="clear" w:color="auto" w:fill="auto"/>
            <w:vAlign w:val="center"/>
          </w:tcPr>
          <w:p w14:paraId="4BDCFB7F">
            <w:pPr>
              <w:pStyle w:val="178"/>
              <w:jc w:val="left"/>
            </w:pPr>
            <w:r>
              <w:rPr>
                <w:rFonts w:hint="eastAsia"/>
              </w:rPr>
              <w:t>病虫草害应采用绿色防控技术，采用生物防治和物理防治，选用高效低毒低残留化学药剂，禁止使用农业农村部规定的禁用农药</w:t>
            </w:r>
          </w:p>
        </w:tc>
        <w:tc>
          <w:tcPr>
            <w:tcW w:w="2296" w:type="dxa"/>
            <w:vMerge w:val="restart"/>
            <w:vAlign w:val="center"/>
          </w:tcPr>
          <w:p w14:paraId="20FDE7F5">
            <w:pPr>
              <w:pStyle w:val="178"/>
              <w:jc w:val="left"/>
            </w:pPr>
            <w:r>
              <w:rPr>
                <w:rFonts w:hint="eastAsia"/>
              </w:rPr>
              <w:t>查看农事活动记录及管理记录</w:t>
            </w:r>
          </w:p>
        </w:tc>
      </w:tr>
      <w:tr w14:paraId="5CC6D0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409" w:hRule="atLeast"/>
          <w:jc w:val="center"/>
        </w:trPr>
        <w:tc>
          <w:tcPr>
            <w:tcW w:w="577" w:type="dxa"/>
            <w:shd w:val="clear" w:color="auto" w:fill="auto"/>
            <w:vAlign w:val="center"/>
          </w:tcPr>
          <w:p w14:paraId="782D5EC1">
            <w:pPr>
              <w:pStyle w:val="178"/>
            </w:pPr>
            <w:r>
              <w:rPr>
                <w:rFonts w:hint="eastAsia"/>
              </w:rPr>
              <w:t>8</w:t>
            </w:r>
          </w:p>
        </w:tc>
        <w:tc>
          <w:tcPr>
            <w:tcW w:w="1017" w:type="dxa"/>
            <w:vMerge w:val="continue"/>
            <w:shd w:val="clear" w:color="auto" w:fill="auto"/>
            <w:vAlign w:val="center"/>
          </w:tcPr>
          <w:p w14:paraId="4CA7C906">
            <w:pPr>
              <w:pStyle w:val="178"/>
            </w:pPr>
          </w:p>
        </w:tc>
        <w:tc>
          <w:tcPr>
            <w:tcW w:w="5524" w:type="dxa"/>
            <w:gridSpan w:val="2"/>
            <w:shd w:val="clear" w:color="auto" w:fill="auto"/>
            <w:vAlign w:val="center"/>
          </w:tcPr>
          <w:p w14:paraId="52D71A43">
            <w:pPr>
              <w:pStyle w:val="178"/>
              <w:jc w:val="left"/>
            </w:pPr>
            <w:r>
              <w:rPr>
                <w:rFonts w:hint="eastAsia"/>
              </w:rPr>
              <w:t>鼓励废料饲料化、肥料化、基质化综合利用，减少污染，每3到4年采取适当措施，培肥地力，防止土壤酸化</w:t>
            </w:r>
          </w:p>
        </w:tc>
        <w:tc>
          <w:tcPr>
            <w:tcW w:w="2296" w:type="dxa"/>
            <w:vMerge w:val="continue"/>
            <w:vAlign w:val="center"/>
          </w:tcPr>
          <w:p w14:paraId="3DD8CEAA">
            <w:pPr>
              <w:pStyle w:val="178"/>
              <w:jc w:val="left"/>
            </w:pPr>
          </w:p>
        </w:tc>
      </w:tr>
      <w:tr w14:paraId="49F7F4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373" w:hRule="atLeast"/>
          <w:jc w:val="center"/>
        </w:trPr>
        <w:tc>
          <w:tcPr>
            <w:tcW w:w="577" w:type="dxa"/>
            <w:shd w:val="clear" w:color="auto" w:fill="auto"/>
            <w:vAlign w:val="center"/>
          </w:tcPr>
          <w:p w14:paraId="5B81499D">
            <w:pPr>
              <w:pStyle w:val="178"/>
            </w:pPr>
            <w:r>
              <w:rPr>
                <w:rFonts w:hint="eastAsia"/>
              </w:rPr>
              <w:t>9</w:t>
            </w:r>
          </w:p>
        </w:tc>
        <w:tc>
          <w:tcPr>
            <w:tcW w:w="1017" w:type="dxa"/>
            <w:vMerge w:val="continue"/>
            <w:shd w:val="clear" w:color="auto" w:fill="auto"/>
            <w:vAlign w:val="center"/>
          </w:tcPr>
          <w:p w14:paraId="5625BA22">
            <w:pPr>
              <w:pStyle w:val="178"/>
            </w:pPr>
          </w:p>
        </w:tc>
        <w:tc>
          <w:tcPr>
            <w:tcW w:w="5524" w:type="dxa"/>
            <w:gridSpan w:val="2"/>
            <w:shd w:val="clear" w:color="auto" w:fill="auto"/>
            <w:vAlign w:val="center"/>
          </w:tcPr>
          <w:p w14:paraId="07A34A53">
            <w:pPr>
              <w:pStyle w:val="178"/>
              <w:jc w:val="both"/>
            </w:pPr>
            <w:r>
              <w:rPr>
                <w:rFonts w:hint="eastAsia"/>
              </w:rPr>
              <w:t>田间农药或肥料包装废弃物或垃圾应有专人进行收集、分类和处理</w:t>
            </w:r>
          </w:p>
        </w:tc>
        <w:tc>
          <w:tcPr>
            <w:tcW w:w="2296" w:type="dxa"/>
            <w:vMerge w:val="continue"/>
            <w:vAlign w:val="center"/>
          </w:tcPr>
          <w:p w14:paraId="4CD3A263">
            <w:pPr>
              <w:pStyle w:val="178"/>
              <w:jc w:val="left"/>
            </w:pPr>
          </w:p>
        </w:tc>
      </w:tr>
      <w:tr w14:paraId="44F341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231" w:hRule="atLeast"/>
          <w:jc w:val="center"/>
        </w:trPr>
        <w:tc>
          <w:tcPr>
            <w:tcW w:w="577" w:type="dxa"/>
            <w:shd w:val="clear" w:color="auto" w:fill="auto"/>
            <w:vAlign w:val="center"/>
          </w:tcPr>
          <w:p w14:paraId="3D524BCA">
            <w:pPr>
              <w:pStyle w:val="178"/>
            </w:pPr>
            <w:r>
              <w:rPr>
                <w:rFonts w:hint="eastAsia"/>
              </w:rPr>
              <w:t>10</w:t>
            </w:r>
          </w:p>
        </w:tc>
        <w:tc>
          <w:tcPr>
            <w:tcW w:w="1017" w:type="dxa"/>
            <w:vMerge w:val="restart"/>
            <w:shd w:val="clear" w:color="auto" w:fill="auto"/>
            <w:vAlign w:val="center"/>
          </w:tcPr>
          <w:p w14:paraId="206842CB">
            <w:pPr>
              <w:pStyle w:val="178"/>
            </w:pPr>
            <w:r>
              <w:t>生态协同</w:t>
            </w:r>
          </w:p>
        </w:tc>
        <w:tc>
          <w:tcPr>
            <w:tcW w:w="5524" w:type="dxa"/>
            <w:gridSpan w:val="2"/>
            <w:shd w:val="clear" w:color="auto" w:fill="auto"/>
            <w:vAlign w:val="center"/>
          </w:tcPr>
          <w:p w14:paraId="0D73133C">
            <w:pPr>
              <w:widowControl/>
              <w:jc w:val="left"/>
            </w:pPr>
            <w:r>
              <w:rPr>
                <w:rFonts w:hint="eastAsia" w:ascii="宋体" w:hAnsi="宋体" w:cs="宋体"/>
                <w:color w:val="000000"/>
                <w:kern w:val="0"/>
                <w:sz w:val="18"/>
                <w:szCs w:val="18"/>
                <w:lang w:bidi="ar"/>
              </w:rPr>
              <w:t>保护生物栖息地，保护生物多样性，维持生态平衡</w:t>
            </w:r>
          </w:p>
        </w:tc>
        <w:tc>
          <w:tcPr>
            <w:tcW w:w="2296" w:type="dxa"/>
            <w:vAlign w:val="center"/>
          </w:tcPr>
          <w:p w14:paraId="74EE5EF1">
            <w:pPr>
              <w:pStyle w:val="178"/>
              <w:jc w:val="left"/>
            </w:pPr>
            <w:r>
              <w:rPr>
                <w:rFonts w:hint="eastAsia"/>
              </w:rPr>
              <w:t>实地察看</w:t>
            </w:r>
          </w:p>
        </w:tc>
      </w:tr>
      <w:tr w14:paraId="199E88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404" w:hRule="atLeast"/>
          <w:jc w:val="center"/>
        </w:trPr>
        <w:tc>
          <w:tcPr>
            <w:tcW w:w="577" w:type="dxa"/>
            <w:shd w:val="clear" w:color="auto" w:fill="auto"/>
            <w:vAlign w:val="center"/>
          </w:tcPr>
          <w:p w14:paraId="06AD4D29">
            <w:pPr>
              <w:pStyle w:val="178"/>
            </w:pPr>
            <w:r>
              <w:rPr>
                <w:rFonts w:hint="eastAsia"/>
              </w:rPr>
              <w:t>11</w:t>
            </w:r>
          </w:p>
        </w:tc>
        <w:tc>
          <w:tcPr>
            <w:tcW w:w="1017" w:type="dxa"/>
            <w:vMerge w:val="continue"/>
            <w:shd w:val="clear" w:color="auto" w:fill="auto"/>
            <w:vAlign w:val="center"/>
          </w:tcPr>
          <w:p w14:paraId="38E4B960">
            <w:pPr>
              <w:pStyle w:val="178"/>
            </w:pPr>
          </w:p>
        </w:tc>
        <w:tc>
          <w:tcPr>
            <w:tcW w:w="5524" w:type="dxa"/>
            <w:gridSpan w:val="2"/>
            <w:shd w:val="clear" w:color="auto" w:fill="auto"/>
            <w:vAlign w:val="center"/>
          </w:tcPr>
          <w:p w14:paraId="1EE9280F">
            <w:pPr>
              <w:pStyle w:val="178"/>
              <w:jc w:val="left"/>
            </w:pPr>
            <w:r>
              <w:rPr>
                <w:rFonts w:hint="eastAsia"/>
              </w:rPr>
              <w:t>禁止引进带有检疫性病虫害的新品种，防止生物入侵</w:t>
            </w:r>
          </w:p>
        </w:tc>
        <w:tc>
          <w:tcPr>
            <w:tcW w:w="2296" w:type="dxa"/>
            <w:vAlign w:val="center"/>
          </w:tcPr>
          <w:p w14:paraId="0B19D488">
            <w:pPr>
              <w:pStyle w:val="178"/>
              <w:jc w:val="left"/>
            </w:pPr>
            <w:r>
              <w:rPr>
                <w:rFonts w:hint="eastAsia"/>
              </w:rPr>
              <w:t>查看检疫证明</w:t>
            </w:r>
          </w:p>
        </w:tc>
      </w:tr>
      <w:tr w14:paraId="19CC09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404" w:hRule="atLeast"/>
          <w:jc w:val="center"/>
        </w:trPr>
        <w:tc>
          <w:tcPr>
            <w:tcW w:w="577" w:type="dxa"/>
            <w:shd w:val="clear" w:color="auto" w:fill="auto"/>
            <w:vAlign w:val="center"/>
          </w:tcPr>
          <w:p w14:paraId="520C076D">
            <w:pPr>
              <w:pStyle w:val="178"/>
            </w:pPr>
            <w:r>
              <w:rPr>
                <w:rFonts w:hint="eastAsia"/>
              </w:rPr>
              <w:t>12</w:t>
            </w:r>
          </w:p>
        </w:tc>
        <w:tc>
          <w:tcPr>
            <w:tcW w:w="1017" w:type="dxa"/>
            <w:vMerge w:val="continue"/>
            <w:shd w:val="clear" w:color="auto" w:fill="auto"/>
            <w:vAlign w:val="center"/>
          </w:tcPr>
          <w:p w14:paraId="7B9DCF10">
            <w:pPr>
              <w:pStyle w:val="178"/>
            </w:pPr>
          </w:p>
        </w:tc>
        <w:tc>
          <w:tcPr>
            <w:tcW w:w="5524" w:type="dxa"/>
            <w:gridSpan w:val="2"/>
            <w:shd w:val="clear" w:color="auto" w:fill="auto"/>
            <w:vAlign w:val="center"/>
          </w:tcPr>
          <w:p w14:paraId="4025A05D">
            <w:pPr>
              <w:pStyle w:val="178"/>
              <w:jc w:val="left"/>
            </w:pPr>
            <w:r>
              <w:rPr>
                <w:rFonts w:hint="eastAsia"/>
              </w:rPr>
              <w:t>与其他生产区域间设置有效的缓冲带或物理屏障</w:t>
            </w:r>
          </w:p>
        </w:tc>
        <w:tc>
          <w:tcPr>
            <w:tcW w:w="2296" w:type="dxa"/>
            <w:vAlign w:val="center"/>
          </w:tcPr>
          <w:p w14:paraId="791B7B41">
            <w:pPr>
              <w:pStyle w:val="178"/>
              <w:jc w:val="left"/>
            </w:pPr>
            <w:r>
              <w:rPr>
                <w:rFonts w:hint="eastAsia"/>
              </w:rPr>
              <w:t>实地察看</w:t>
            </w:r>
          </w:p>
        </w:tc>
      </w:tr>
      <w:tr w14:paraId="7A5555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404" w:hRule="atLeast"/>
          <w:jc w:val="center"/>
        </w:trPr>
        <w:tc>
          <w:tcPr>
            <w:tcW w:w="577" w:type="dxa"/>
            <w:shd w:val="clear" w:color="auto" w:fill="auto"/>
            <w:vAlign w:val="center"/>
          </w:tcPr>
          <w:p w14:paraId="27713E18">
            <w:pPr>
              <w:pStyle w:val="178"/>
            </w:pPr>
            <w:r>
              <w:rPr>
                <w:rFonts w:hint="eastAsia"/>
              </w:rPr>
              <w:t>13</w:t>
            </w:r>
          </w:p>
        </w:tc>
        <w:tc>
          <w:tcPr>
            <w:tcW w:w="1017" w:type="dxa"/>
            <w:vMerge w:val="continue"/>
            <w:shd w:val="clear" w:color="auto" w:fill="auto"/>
            <w:vAlign w:val="center"/>
          </w:tcPr>
          <w:p w14:paraId="13826AA1">
            <w:pPr>
              <w:pStyle w:val="178"/>
            </w:pPr>
          </w:p>
        </w:tc>
        <w:tc>
          <w:tcPr>
            <w:tcW w:w="5524" w:type="dxa"/>
            <w:gridSpan w:val="2"/>
            <w:shd w:val="clear" w:color="auto" w:fill="auto"/>
            <w:vAlign w:val="center"/>
          </w:tcPr>
          <w:p w14:paraId="0E07FD96">
            <w:pPr>
              <w:pStyle w:val="178"/>
              <w:jc w:val="both"/>
            </w:pPr>
            <w:r>
              <w:rPr>
                <w:rFonts w:hint="eastAsia"/>
              </w:rPr>
              <w:t>保证基地具有可持续生产能力，不对环境或周边其他生物产生污染</w:t>
            </w:r>
          </w:p>
        </w:tc>
        <w:tc>
          <w:tcPr>
            <w:tcW w:w="2296" w:type="dxa"/>
            <w:vAlign w:val="center"/>
          </w:tcPr>
          <w:p w14:paraId="76DA7484">
            <w:pPr>
              <w:pStyle w:val="178"/>
              <w:jc w:val="left"/>
            </w:pPr>
            <w:r>
              <w:rPr>
                <w:rFonts w:hint="eastAsia"/>
              </w:rPr>
              <w:t>实地察看，分析面源、点源污染情况</w:t>
            </w:r>
          </w:p>
        </w:tc>
      </w:tr>
      <w:tr w14:paraId="5102B4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366" w:hRule="atLeast"/>
          <w:jc w:val="center"/>
        </w:trPr>
        <w:tc>
          <w:tcPr>
            <w:tcW w:w="577" w:type="dxa"/>
            <w:shd w:val="clear" w:color="auto" w:fill="auto"/>
            <w:vAlign w:val="center"/>
          </w:tcPr>
          <w:p w14:paraId="7711E2AF">
            <w:pPr>
              <w:pStyle w:val="178"/>
              <w:rPr>
                <w:rFonts w:hint="default" w:eastAsia="宋体"/>
                <w:lang w:val="en-US" w:eastAsia="zh-CN"/>
              </w:rPr>
            </w:pPr>
            <w:r>
              <w:rPr>
                <w:rFonts w:hint="eastAsia"/>
                <w:lang w:val="en-US" w:eastAsia="zh-CN"/>
              </w:rPr>
              <w:t>14</w:t>
            </w:r>
          </w:p>
        </w:tc>
        <w:tc>
          <w:tcPr>
            <w:tcW w:w="1017" w:type="dxa"/>
            <w:vMerge w:val="restart"/>
            <w:shd w:val="clear" w:color="auto" w:fill="auto"/>
            <w:vAlign w:val="center"/>
          </w:tcPr>
          <w:p w14:paraId="2AADF157">
            <w:pPr>
              <w:pStyle w:val="178"/>
            </w:pPr>
            <w:r>
              <w:t>质量引领</w:t>
            </w:r>
          </w:p>
        </w:tc>
        <w:tc>
          <w:tcPr>
            <w:tcW w:w="928" w:type="dxa"/>
            <w:vMerge w:val="restart"/>
            <w:shd w:val="clear" w:color="auto" w:fill="auto"/>
            <w:vAlign w:val="center"/>
          </w:tcPr>
          <w:p w14:paraId="28E32B33">
            <w:pPr>
              <w:pStyle w:val="178"/>
            </w:pPr>
            <w:r>
              <w:t>感官指标</w:t>
            </w:r>
          </w:p>
        </w:tc>
        <w:tc>
          <w:tcPr>
            <w:tcW w:w="4596" w:type="dxa"/>
            <w:vMerge w:val="restart"/>
            <w:shd w:val="clear" w:color="auto" w:fill="auto"/>
            <w:vAlign w:val="center"/>
          </w:tcPr>
          <w:p w14:paraId="0D3F1DA3">
            <w:pPr>
              <w:pStyle w:val="178"/>
              <w:jc w:val="left"/>
              <w:rPr>
                <w:rFonts w:hint="default"/>
                <w:lang w:val="en-US"/>
              </w:rPr>
            </w:pPr>
            <w:r>
              <w:rPr>
                <w:rFonts w:hint="eastAsia"/>
                <w:color w:val="auto"/>
                <w:lang w:val="en-US" w:eastAsia="zh-CN"/>
              </w:rPr>
              <w:t>符合本文件4.2、4.3、4.4的规定</w:t>
            </w:r>
          </w:p>
        </w:tc>
        <w:tc>
          <w:tcPr>
            <w:tcW w:w="2296" w:type="dxa"/>
            <w:vMerge w:val="restart"/>
            <w:vAlign w:val="center"/>
          </w:tcPr>
          <w:p w14:paraId="4872CEF4">
            <w:pPr>
              <w:pStyle w:val="178"/>
              <w:jc w:val="left"/>
              <w:rPr>
                <w:rFonts w:hint="eastAsia" w:eastAsia="宋体"/>
                <w:lang w:eastAsia="zh-CN"/>
              </w:rPr>
            </w:pPr>
            <w:r>
              <w:rPr>
                <w:rFonts w:hint="eastAsia"/>
                <w:lang w:eastAsia="zh-CN"/>
              </w:rPr>
              <w:t>按</w:t>
            </w:r>
            <w:r>
              <w:rPr>
                <w:rFonts w:hint="eastAsia"/>
                <w:lang w:val="en-US" w:eastAsia="zh-CN"/>
              </w:rPr>
              <w:t>本文件第4章规定的方法进行检测，看检测报告</w:t>
            </w:r>
          </w:p>
        </w:tc>
      </w:tr>
      <w:tr w14:paraId="30BBB2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404" w:hRule="atLeast"/>
          <w:jc w:val="center"/>
        </w:trPr>
        <w:tc>
          <w:tcPr>
            <w:tcW w:w="577" w:type="dxa"/>
            <w:shd w:val="clear" w:color="auto" w:fill="auto"/>
            <w:vAlign w:val="center"/>
          </w:tcPr>
          <w:p w14:paraId="4FE9C63F">
            <w:pPr>
              <w:pStyle w:val="178"/>
              <w:rPr>
                <w:rFonts w:hint="default" w:eastAsia="宋体"/>
                <w:lang w:val="en-US" w:eastAsia="zh-CN"/>
              </w:rPr>
            </w:pPr>
            <w:r>
              <w:rPr>
                <w:rFonts w:hint="eastAsia"/>
                <w:lang w:val="en-US" w:eastAsia="zh-CN"/>
              </w:rPr>
              <w:t>15</w:t>
            </w:r>
          </w:p>
        </w:tc>
        <w:tc>
          <w:tcPr>
            <w:tcW w:w="1017" w:type="dxa"/>
            <w:vMerge w:val="continue"/>
            <w:shd w:val="clear" w:color="auto" w:fill="auto"/>
            <w:vAlign w:val="center"/>
          </w:tcPr>
          <w:p w14:paraId="39A19954">
            <w:pPr>
              <w:pStyle w:val="178"/>
            </w:pPr>
          </w:p>
        </w:tc>
        <w:tc>
          <w:tcPr>
            <w:tcW w:w="928" w:type="dxa"/>
            <w:vMerge w:val="restart"/>
            <w:shd w:val="clear" w:color="auto" w:fill="auto"/>
            <w:vAlign w:val="center"/>
          </w:tcPr>
          <w:p w14:paraId="26EAE5D4">
            <w:pPr>
              <w:pStyle w:val="178"/>
            </w:pPr>
            <w:r>
              <w:t>理化指标</w:t>
            </w:r>
          </w:p>
        </w:tc>
        <w:tc>
          <w:tcPr>
            <w:tcW w:w="4596" w:type="dxa"/>
            <w:vMerge w:val="continue"/>
            <w:shd w:val="clear" w:color="auto" w:fill="auto"/>
            <w:vAlign w:val="center"/>
          </w:tcPr>
          <w:p w14:paraId="0E901C18">
            <w:pPr>
              <w:pStyle w:val="178"/>
              <w:jc w:val="both"/>
              <w:rPr>
                <w:rFonts w:hint="default" w:eastAsia="宋体"/>
                <w:color w:val="auto"/>
                <w:lang w:val="en-US" w:eastAsia="zh-CN"/>
              </w:rPr>
            </w:pPr>
          </w:p>
        </w:tc>
        <w:tc>
          <w:tcPr>
            <w:tcW w:w="2296" w:type="dxa"/>
            <w:vMerge w:val="continue"/>
            <w:vAlign w:val="center"/>
          </w:tcPr>
          <w:p w14:paraId="1D723682">
            <w:pPr>
              <w:pStyle w:val="178"/>
              <w:jc w:val="both"/>
            </w:pPr>
          </w:p>
        </w:tc>
      </w:tr>
      <w:tr w14:paraId="7F6285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381" w:hRule="atLeast"/>
          <w:jc w:val="center"/>
        </w:trPr>
        <w:tc>
          <w:tcPr>
            <w:tcW w:w="577" w:type="dxa"/>
            <w:shd w:val="clear" w:color="auto" w:fill="auto"/>
            <w:vAlign w:val="center"/>
          </w:tcPr>
          <w:p w14:paraId="721B2F0C">
            <w:pPr>
              <w:pStyle w:val="178"/>
              <w:jc w:val="center"/>
              <w:rPr>
                <w:rFonts w:hint="default" w:eastAsia="宋体"/>
                <w:lang w:val="en-US" w:eastAsia="zh-CN"/>
              </w:rPr>
            </w:pPr>
            <w:r>
              <w:rPr>
                <w:rFonts w:hint="eastAsia"/>
                <w:lang w:val="en-US" w:eastAsia="zh-CN"/>
              </w:rPr>
              <w:t>16</w:t>
            </w:r>
          </w:p>
        </w:tc>
        <w:tc>
          <w:tcPr>
            <w:tcW w:w="1017" w:type="dxa"/>
            <w:vMerge w:val="continue"/>
            <w:shd w:val="clear" w:color="auto" w:fill="auto"/>
            <w:vAlign w:val="center"/>
          </w:tcPr>
          <w:p w14:paraId="1D3C7AB1">
            <w:pPr>
              <w:pStyle w:val="178"/>
            </w:pPr>
          </w:p>
        </w:tc>
        <w:tc>
          <w:tcPr>
            <w:tcW w:w="928" w:type="dxa"/>
            <w:shd w:val="clear" w:color="auto" w:fill="auto"/>
            <w:vAlign w:val="center"/>
          </w:tcPr>
          <w:p w14:paraId="446C9D97">
            <w:pPr>
              <w:pStyle w:val="178"/>
            </w:pPr>
            <w:r>
              <w:t>卫生指标</w:t>
            </w:r>
          </w:p>
        </w:tc>
        <w:tc>
          <w:tcPr>
            <w:tcW w:w="4596" w:type="dxa"/>
            <w:vMerge w:val="continue"/>
            <w:shd w:val="clear" w:color="auto" w:fill="auto"/>
            <w:vAlign w:val="center"/>
          </w:tcPr>
          <w:p w14:paraId="2FC9D10A">
            <w:pPr>
              <w:pStyle w:val="178"/>
              <w:rPr>
                <w:color w:val="auto"/>
              </w:rPr>
            </w:pPr>
          </w:p>
        </w:tc>
        <w:tc>
          <w:tcPr>
            <w:tcW w:w="2296" w:type="dxa"/>
            <w:vMerge w:val="continue"/>
            <w:vAlign w:val="center"/>
          </w:tcPr>
          <w:p w14:paraId="2F37A324">
            <w:pPr>
              <w:pStyle w:val="178"/>
              <w:rPr>
                <w:color w:val="auto"/>
              </w:rPr>
            </w:pPr>
          </w:p>
        </w:tc>
      </w:tr>
      <w:tr w14:paraId="303697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571" w:hRule="atLeast"/>
          <w:jc w:val="center"/>
        </w:trPr>
        <w:tc>
          <w:tcPr>
            <w:tcW w:w="9414" w:type="dxa"/>
            <w:gridSpan w:val="5"/>
            <w:shd w:val="clear" w:color="auto" w:fill="auto"/>
            <w:vAlign w:val="center"/>
          </w:tcPr>
          <w:p w14:paraId="0FB47554">
            <w:pPr>
              <w:pStyle w:val="178"/>
              <w:jc w:val="left"/>
            </w:pPr>
            <w:r>
              <w:rPr>
                <w:rFonts w:hint="eastAsia"/>
              </w:rPr>
              <w:t>注：“江西绿色生态</w:t>
            </w:r>
            <w:r>
              <w:rPr>
                <w:rFonts w:hint="eastAsia"/>
                <w:lang w:val="en-US" w:eastAsia="zh-CN"/>
              </w:rPr>
              <w:t xml:space="preserve"> 会昌桔柚</w:t>
            </w:r>
            <w:r>
              <w:rPr>
                <w:rFonts w:hint="eastAsia"/>
              </w:rPr>
              <w:t>” 评价指标由一级指标和二级指标组成。一级指标是指 DB36/T 1138 第5章中规定的资源节约属性、环境保护属性、生态协同属性和质量引领属性。二级指标是一级指标的具体化。</w:t>
            </w:r>
          </w:p>
        </w:tc>
      </w:tr>
    </w:tbl>
    <w:p w14:paraId="4D51A1A6">
      <w:pPr>
        <w:pStyle w:val="162"/>
        <w:numPr>
          <w:ilvl w:val="2"/>
          <w:numId w:val="0"/>
        </w:numPr>
        <w:ind w:leftChars="0"/>
      </w:pPr>
    </w:p>
    <w:p w14:paraId="6C50443F">
      <w:pPr>
        <w:pStyle w:val="162"/>
      </w:pPr>
      <w:r>
        <w:rPr>
          <w:rFonts w:hint="eastAsia"/>
          <w:color w:val="auto"/>
        </w:rPr>
        <w:t>符合表</w:t>
      </w:r>
      <w:r>
        <w:rPr>
          <w:rFonts w:hint="eastAsia"/>
          <w:color w:val="auto"/>
          <w:lang w:val="en-US" w:eastAsia="zh-CN"/>
        </w:rPr>
        <w:t>3</w:t>
      </w:r>
      <w:r>
        <w:rPr>
          <w:rFonts w:hint="eastAsia"/>
          <w:color w:val="auto"/>
        </w:rPr>
        <w:t>评价</w:t>
      </w:r>
      <w:r>
        <w:rPr>
          <w:rFonts w:hint="eastAsia"/>
          <w:color w:val="auto"/>
          <w:lang w:eastAsia="zh-CN"/>
        </w:rPr>
        <w:t>指标</w:t>
      </w:r>
      <w:r>
        <w:rPr>
          <w:rFonts w:hint="eastAsia"/>
          <w:color w:val="auto"/>
        </w:rPr>
        <w:t>要</w:t>
      </w:r>
      <w:r>
        <w:rPr>
          <w:rFonts w:hint="eastAsia"/>
        </w:rPr>
        <w:t>求且通过认证的产品，则授予“江西绿色生态”认证证书和标志。</w:t>
      </w:r>
    </w:p>
    <w:bookmarkEnd w:id="26"/>
    <w:p w14:paraId="74FFB22E">
      <w:pPr>
        <w:pStyle w:val="56"/>
        <w:ind w:firstLine="0" w:firstLineChars="0"/>
        <w:jc w:val="both"/>
        <w:rPr>
          <w:rFonts w:hint="eastAsia"/>
          <w:u w:val="none"/>
          <w:lang w:val="en-US" w:eastAsia="zh-CN"/>
        </w:rPr>
      </w:pPr>
    </w:p>
    <w:p w14:paraId="70D1F05D">
      <w:pPr>
        <w:pStyle w:val="56"/>
        <w:ind w:firstLine="0" w:firstLineChars="0"/>
        <w:jc w:val="both"/>
        <w:rPr>
          <w:rFonts w:hint="eastAsia"/>
          <w:u w:val="none"/>
          <w:lang w:val="en-US" w:eastAsia="zh-CN"/>
        </w:rPr>
      </w:pPr>
    </w:p>
    <w:p w14:paraId="7C09DA20">
      <w:pPr>
        <w:pStyle w:val="56"/>
        <w:ind w:firstLine="0" w:firstLineChars="0"/>
        <w:jc w:val="both"/>
        <w:rPr>
          <w:rFonts w:hint="eastAsia"/>
          <w:u w:val="none"/>
          <w:lang w:val="en-US" w:eastAsia="zh-CN"/>
        </w:rPr>
      </w:pPr>
    </w:p>
    <w:p w14:paraId="46A81212">
      <w:pPr>
        <w:pStyle w:val="56"/>
        <w:ind w:firstLine="0" w:firstLineChars="0"/>
        <w:jc w:val="both"/>
        <w:rPr>
          <w:rFonts w:hint="eastAsia"/>
          <w:u w:val="none"/>
          <w:lang w:val="en-US" w:eastAsia="zh-CN"/>
        </w:rPr>
      </w:pPr>
      <w:r>
        <w:rPr>
          <w:rFonts w:hint="eastAsia"/>
          <w:u w:val="none"/>
          <w:lang w:val="en-US" w:eastAsia="zh-CN"/>
        </w:rPr>
        <w:t xml:space="preserve"> </w:t>
      </w:r>
    </w:p>
    <w:p w14:paraId="79F7E323">
      <w:pPr>
        <w:pStyle w:val="56"/>
        <w:ind w:firstLine="0" w:firstLineChars="0"/>
        <w:jc w:val="both"/>
        <w:rPr>
          <w:rFonts w:hint="default" w:eastAsia="宋体"/>
          <w:u w:val="single"/>
          <w:lang w:val="en-US" w:eastAsia="zh-CN"/>
        </w:rPr>
      </w:pPr>
      <w:r>
        <w:rPr>
          <w:rFonts w:hint="eastAsia"/>
          <w:u w:val="none"/>
          <w:lang w:val="en-US" w:eastAsia="zh-CN"/>
        </w:rPr>
        <w:t xml:space="preserve">                            </w:t>
      </w:r>
      <w:r>
        <w:rPr>
          <w:rFonts w:hint="eastAsia"/>
          <w:u w:val="single"/>
          <w:lang w:val="en-US" w:eastAsia="zh-CN"/>
        </w:rPr>
        <w:t xml:space="preserve">                                 </w:t>
      </w:r>
    </w:p>
    <w:sectPr>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auto"/>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DEAC0">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91152">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DD072">
    <w:pPr>
      <w:pStyle w:val="52"/>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A2D91">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1165B">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F6D14">
    <w:pPr>
      <w:pStyle w:val="61"/>
    </w:pPr>
    <w:r>
      <w:fldChar w:fldCharType="begin"/>
    </w:r>
    <w:r>
      <w:instrText xml:space="preserve"> STYLEREF  标准文件_文件编号  \* MERGEFORMAT </w:instrText>
    </w:r>
    <w:r>
      <w:fldChar w:fldCharType="separate"/>
    </w:r>
    <w:r>
      <w:t>T/JCE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E89B5">
    <w:pPr>
      <w:pStyle w:val="18"/>
      <w:jc w:val="right"/>
    </w:pPr>
    <w:r>
      <w:fldChar w:fldCharType="begin"/>
    </w:r>
    <w:r>
      <w:instrText xml:space="preserve"> STYLEREF  标准文件_文件编号  \* MERGEFORMAT </w:instrText>
    </w:r>
    <w:r>
      <w:fldChar w:fldCharType="separate"/>
    </w:r>
    <w:r>
      <w:t>T/JCE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dit="forms" w:enforcement="1" w:cryptProviderType="rsaFull" w:cryptAlgorithmClass="hash" w:cryptAlgorithmType="typeAny" w:cryptAlgorithmSid="4" w:cryptSpinCount="100000" w:hash="/DZqGGlyE05AhP5CDlMkFSQnc4U=" w:salt="TpCHI5Z8U5cOfa8ApNgdeQ=="/>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xM2Y1ZDQ4N2RhZjlmZDAyMThmODY1NmZlZjVhNjcifQ=="/>
  </w:docVars>
  <w:rsids>
    <w:rsidRoot w:val="00E66B5E"/>
    <w:rsid w:val="0000040A"/>
    <w:rsid w:val="00000A94"/>
    <w:rsid w:val="00001972"/>
    <w:rsid w:val="00001D9A"/>
    <w:rsid w:val="00007B3A"/>
    <w:rsid w:val="000107E0"/>
    <w:rsid w:val="00010BF7"/>
    <w:rsid w:val="00011FDE"/>
    <w:rsid w:val="00012FFD"/>
    <w:rsid w:val="00013654"/>
    <w:rsid w:val="00013870"/>
    <w:rsid w:val="00014162"/>
    <w:rsid w:val="00014340"/>
    <w:rsid w:val="00016A9C"/>
    <w:rsid w:val="0002172A"/>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59A2"/>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6B57"/>
    <w:rsid w:val="00067F1E"/>
    <w:rsid w:val="00071CC0"/>
    <w:rsid w:val="00071CFC"/>
    <w:rsid w:val="00073C8C"/>
    <w:rsid w:val="00077B64"/>
    <w:rsid w:val="00080A1C"/>
    <w:rsid w:val="00082317"/>
    <w:rsid w:val="00083D2C"/>
    <w:rsid w:val="00086AA1"/>
    <w:rsid w:val="00087A77"/>
    <w:rsid w:val="00090CA6"/>
    <w:rsid w:val="000927EE"/>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D45"/>
    <w:rsid w:val="000B1FF2"/>
    <w:rsid w:val="000B3CDA"/>
    <w:rsid w:val="000B6A0B"/>
    <w:rsid w:val="000C0F6C"/>
    <w:rsid w:val="000C11DB"/>
    <w:rsid w:val="000C1492"/>
    <w:rsid w:val="000C17DF"/>
    <w:rsid w:val="000C2FBD"/>
    <w:rsid w:val="000C4B41"/>
    <w:rsid w:val="000C57D6"/>
    <w:rsid w:val="000C6362"/>
    <w:rsid w:val="000C7666"/>
    <w:rsid w:val="000D0A9C"/>
    <w:rsid w:val="000D1795"/>
    <w:rsid w:val="000D329A"/>
    <w:rsid w:val="000D4B9C"/>
    <w:rsid w:val="000D4EB6"/>
    <w:rsid w:val="000D753B"/>
    <w:rsid w:val="000E142A"/>
    <w:rsid w:val="000E4C9E"/>
    <w:rsid w:val="000E6FD7"/>
    <w:rsid w:val="000E7144"/>
    <w:rsid w:val="000F06E1"/>
    <w:rsid w:val="000F0E3C"/>
    <w:rsid w:val="000F19D5"/>
    <w:rsid w:val="000F4050"/>
    <w:rsid w:val="000F4AEA"/>
    <w:rsid w:val="000F67E9"/>
    <w:rsid w:val="00104926"/>
    <w:rsid w:val="00107727"/>
    <w:rsid w:val="00113B1E"/>
    <w:rsid w:val="0011711C"/>
    <w:rsid w:val="00123ED1"/>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0BFA"/>
    <w:rsid w:val="001C2C03"/>
    <w:rsid w:val="001C42F7"/>
    <w:rsid w:val="001C49E5"/>
    <w:rsid w:val="001C4B28"/>
    <w:rsid w:val="001C5CE4"/>
    <w:rsid w:val="001C680C"/>
    <w:rsid w:val="001C7FEA"/>
    <w:rsid w:val="001D0499"/>
    <w:rsid w:val="001D0BBE"/>
    <w:rsid w:val="001D0D63"/>
    <w:rsid w:val="001D0ED4"/>
    <w:rsid w:val="001D0EE8"/>
    <w:rsid w:val="001D212F"/>
    <w:rsid w:val="001D29D7"/>
    <w:rsid w:val="001D2DE7"/>
    <w:rsid w:val="001D411C"/>
    <w:rsid w:val="001E0CBA"/>
    <w:rsid w:val="001E1B6A"/>
    <w:rsid w:val="001E2484"/>
    <w:rsid w:val="001E3CC4"/>
    <w:rsid w:val="001E4882"/>
    <w:rsid w:val="001E73AB"/>
    <w:rsid w:val="001F092D"/>
    <w:rsid w:val="001F143A"/>
    <w:rsid w:val="001F1605"/>
    <w:rsid w:val="001F2508"/>
    <w:rsid w:val="001F2DA1"/>
    <w:rsid w:val="001F2DAE"/>
    <w:rsid w:val="001F4816"/>
    <w:rsid w:val="001F69B4"/>
    <w:rsid w:val="001F77C7"/>
    <w:rsid w:val="00200183"/>
    <w:rsid w:val="00200333"/>
    <w:rsid w:val="0020107D"/>
    <w:rsid w:val="00202AA4"/>
    <w:rsid w:val="002031F7"/>
    <w:rsid w:val="002040E6"/>
    <w:rsid w:val="0020527B"/>
    <w:rsid w:val="00205F2C"/>
    <w:rsid w:val="00210B15"/>
    <w:rsid w:val="00211B7D"/>
    <w:rsid w:val="002142EA"/>
    <w:rsid w:val="00215ADD"/>
    <w:rsid w:val="002204BB"/>
    <w:rsid w:val="00221B79"/>
    <w:rsid w:val="00221C6B"/>
    <w:rsid w:val="00223781"/>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244E"/>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1DE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07CD"/>
    <w:rsid w:val="00381815"/>
    <w:rsid w:val="003819AF"/>
    <w:rsid w:val="003820E9"/>
    <w:rsid w:val="00382DE7"/>
    <w:rsid w:val="00384225"/>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0FC7"/>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52E6"/>
    <w:rsid w:val="003E660F"/>
    <w:rsid w:val="003F053B"/>
    <w:rsid w:val="003F0841"/>
    <w:rsid w:val="003F23D3"/>
    <w:rsid w:val="003F3F08"/>
    <w:rsid w:val="003F49F1"/>
    <w:rsid w:val="003F6272"/>
    <w:rsid w:val="00400E72"/>
    <w:rsid w:val="00401400"/>
    <w:rsid w:val="00404869"/>
    <w:rsid w:val="00405884"/>
    <w:rsid w:val="00407D39"/>
    <w:rsid w:val="00410E80"/>
    <w:rsid w:val="0041477A"/>
    <w:rsid w:val="004167A3"/>
    <w:rsid w:val="004216BD"/>
    <w:rsid w:val="00426F9E"/>
    <w:rsid w:val="00427EA3"/>
    <w:rsid w:val="00432DAA"/>
    <w:rsid w:val="00434305"/>
    <w:rsid w:val="00435DF7"/>
    <w:rsid w:val="0044083F"/>
    <w:rsid w:val="00441AE7"/>
    <w:rsid w:val="004450D8"/>
    <w:rsid w:val="00445574"/>
    <w:rsid w:val="004467FB"/>
    <w:rsid w:val="004473AB"/>
    <w:rsid w:val="00452D6B"/>
    <w:rsid w:val="00454484"/>
    <w:rsid w:val="0045517B"/>
    <w:rsid w:val="0045642E"/>
    <w:rsid w:val="00461966"/>
    <w:rsid w:val="00463B77"/>
    <w:rsid w:val="00463C7B"/>
    <w:rsid w:val="004644A6"/>
    <w:rsid w:val="004659BD"/>
    <w:rsid w:val="00470775"/>
    <w:rsid w:val="004746B1"/>
    <w:rsid w:val="004752F0"/>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0D73"/>
    <w:rsid w:val="004B2701"/>
    <w:rsid w:val="004B2E1B"/>
    <w:rsid w:val="004B3AA8"/>
    <w:rsid w:val="004B3E93"/>
    <w:rsid w:val="004C0FEE"/>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22B"/>
    <w:rsid w:val="00555044"/>
    <w:rsid w:val="00561475"/>
    <w:rsid w:val="00562308"/>
    <w:rsid w:val="0056487B"/>
    <w:rsid w:val="00564FB9"/>
    <w:rsid w:val="00573D9E"/>
    <w:rsid w:val="00575055"/>
    <w:rsid w:val="00575493"/>
    <w:rsid w:val="005801E3"/>
    <w:rsid w:val="00581802"/>
    <w:rsid w:val="00581F7F"/>
    <w:rsid w:val="005836A8"/>
    <w:rsid w:val="0058409C"/>
    <w:rsid w:val="00584262"/>
    <w:rsid w:val="00586630"/>
    <w:rsid w:val="00586DDE"/>
    <w:rsid w:val="00587ADD"/>
    <w:rsid w:val="00593A49"/>
    <w:rsid w:val="00596160"/>
    <w:rsid w:val="005966E2"/>
    <w:rsid w:val="00597007"/>
    <w:rsid w:val="005A0966"/>
    <w:rsid w:val="005A11B7"/>
    <w:rsid w:val="005A260B"/>
    <w:rsid w:val="005A2D64"/>
    <w:rsid w:val="005A4A1B"/>
    <w:rsid w:val="005A7830"/>
    <w:rsid w:val="005A7FCE"/>
    <w:rsid w:val="005B0F3F"/>
    <w:rsid w:val="005B191C"/>
    <w:rsid w:val="005B4903"/>
    <w:rsid w:val="005B4D4C"/>
    <w:rsid w:val="005B51CE"/>
    <w:rsid w:val="005B5885"/>
    <w:rsid w:val="005B5CD7"/>
    <w:rsid w:val="005B6CF6"/>
    <w:rsid w:val="005B7422"/>
    <w:rsid w:val="005C29B8"/>
    <w:rsid w:val="005C48AB"/>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34B"/>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C2"/>
    <w:rsid w:val="00672BFD"/>
    <w:rsid w:val="006770F4"/>
    <w:rsid w:val="00677A84"/>
    <w:rsid w:val="0068026D"/>
    <w:rsid w:val="00680A27"/>
    <w:rsid w:val="006816A4"/>
    <w:rsid w:val="006819B8"/>
    <w:rsid w:val="006840A6"/>
    <w:rsid w:val="006850CD"/>
    <w:rsid w:val="00685AAB"/>
    <w:rsid w:val="00691964"/>
    <w:rsid w:val="006A07AA"/>
    <w:rsid w:val="006A09A6"/>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2913"/>
    <w:rsid w:val="006D3E96"/>
    <w:rsid w:val="006D4515"/>
    <w:rsid w:val="006D4BB1"/>
    <w:rsid w:val="006D6593"/>
    <w:rsid w:val="006E638C"/>
    <w:rsid w:val="006F03A8"/>
    <w:rsid w:val="006F2ACA"/>
    <w:rsid w:val="006F2ADC"/>
    <w:rsid w:val="006F2BFE"/>
    <w:rsid w:val="006F31E9"/>
    <w:rsid w:val="006F6284"/>
    <w:rsid w:val="007002C5"/>
    <w:rsid w:val="00704387"/>
    <w:rsid w:val="00707669"/>
    <w:rsid w:val="007106EA"/>
    <w:rsid w:val="00711CBA"/>
    <w:rsid w:val="00711FB5"/>
    <w:rsid w:val="00712A01"/>
    <w:rsid w:val="00714F58"/>
    <w:rsid w:val="00721D53"/>
    <w:rsid w:val="00722770"/>
    <w:rsid w:val="00722FBF"/>
    <w:rsid w:val="00722FC2"/>
    <w:rsid w:val="00724E1B"/>
    <w:rsid w:val="00725949"/>
    <w:rsid w:val="00727FA2"/>
    <w:rsid w:val="007322D9"/>
    <w:rsid w:val="00732BC0"/>
    <w:rsid w:val="0073720F"/>
    <w:rsid w:val="00737796"/>
    <w:rsid w:val="00737A9B"/>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2FE"/>
    <w:rsid w:val="00755402"/>
    <w:rsid w:val="00755570"/>
    <w:rsid w:val="00755C16"/>
    <w:rsid w:val="00756B26"/>
    <w:rsid w:val="00756EDF"/>
    <w:rsid w:val="00756F7E"/>
    <w:rsid w:val="007600E3"/>
    <w:rsid w:val="00765C43"/>
    <w:rsid w:val="00765EFB"/>
    <w:rsid w:val="00766BC9"/>
    <w:rsid w:val="007671CA"/>
    <w:rsid w:val="00767C61"/>
    <w:rsid w:val="0077008A"/>
    <w:rsid w:val="00773C1F"/>
    <w:rsid w:val="00774DA4"/>
    <w:rsid w:val="00776599"/>
    <w:rsid w:val="007777BF"/>
    <w:rsid w:val="0078114B"/>
    <w:rsid w:val="00781DD2"/>
    <w:rsid w:val="00783ECF"/>
    <w:rsid w:val="0078413A"/>
    <w:rsid w:val="00786081"/>
    <w:rsid w:val="007959E8"/>
    <w:rsid w:val="00795E9C"/>
    <w:rsid w:val="007A0521"/>
    <w:rsid w:val="007A2E12"/>
    <w:rsid w:val="007A3475"/>
    <w:rsid w:val="007A41C8"/>
    <w:rsid w:val="007A54CE"/>
    <w:rsid w:val="007A5D3A"/>
    <w:rsid w:val="007A6FD9"/>
    <w:rsid w:val="007A7173"/>
    <w:rsid w:val="007A7FFA"/>
    <w:rsid w:val="007B04EB"/>
    <w:rsid w:val="007B0D4F"/>
    <w:rsid w:val="007B5A3D"/>
    <w:rsid w:val="007B5B95"/>
    <w:rsid w:val="007B6032"/>
    <w:rsid w:val="007B68EA"/>
    <w:rsid w:val="007B7140"/>
    <w:rsid w:val="007B7453"/>
    <w:rsid w:val="007C2D89"/>
    <w:rsid w:val="007C3636"/>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8F7"/>
    <w:rsid w:val="008209E6"/>
    <w:rsid w:val="00821D19"/>
    <w:rsid w:val="00823303"/>
    <w:rsid w:val="008233B2"/>
    <w:rsid w:val="00823A9F"/>
    <w:rsid w:val="00823C85"/>
    <w:rsid w:val="00825138"/>
    <w:rsid w:val="008269DD"/>
    <w:rsid w:val="00830621"/>
    <w:rsid w:val="00831498"/>
    <w:rsid w:val="0083348C"/>
    <w:rsid w:val="008373D3"/>
    <w:rsid w:val="00840617"/>
    <w:rsid w:val="00840F84"/>
    <w:rsid w:val="00842A47"/>
    <w:rsid w:val="00843C13"/>
    <w:rsid w:val="00843DEF"/>
    <w:rsid w:val="008454F8"/>
    <w:rsid w:val="0085173A"/>
    <w:rsid w:val="008538ED"/>
    <w:rsid w:val="008603CE"/>
    <w:rsid w:val="008620FC"/>
    <w:rsid w:val="008627A5"/>
    <w:rsid w:val="00863E05"/>
    <w:rsid w:val="00865ACA"/>
    <w:rsid w:val="00865D28"/>
    <w:rsid w:val="00865F85"/>
    <w:rsid w:val="00867C10"/>
    <w:rsid w:val="00870439"/>
    <w:rsid w:val="00870DA1"/>
    <w:rsid w:val="0087161D"/>
    <w:rsid w:val="00881FFC"/>
    <w:rsid w:val="00882421"/>
    <w:rsid w:val="00883F93"/>
    <w:rsid w:val="00884DB3"/>
    <w:rsid w:val="00885A9D"/>
    <w:rsid w:val="008864F6"/>
    <w:rsid w:val="0088711B"/>
    <w:rsid w:val="0089049D"/>
    <w:rsid w:val="008928C9"/>
    <w:rsid w:val="008930CB"/>
    <w:rsid w:val="008938DC"/>
    <w:rsid w:val="00893FD1"/>
    <w:rsid w:val="00894836"/>
    <w:rsid w:val="00895172"/>
    <w:rsid w:val="00895680"/>
    <w:rsid w:val="00896DFF"/>
    <w:rsid w:val="0089762C"/>
    <w:rsid w:val="008A173B"/>
    <w:rsid w:val="008A1893"/>
    <w:rsid w:val="008A1F54"/>
    <w:rsid w:val="008A57E6"/>
    <w:rsid w:val="008A6F81"/>
    <w:rsid w:val="008A769A"/>
    <w:rsid w:val="008B0C9C"/>
    <w:rsid w:val="008B166D"/>
    <w:rsid w:val="008B17F4"/>
    <w:rsid w:val="008B3615"/>
    <w:rsid w:val="008B4AC4"/>
    <w:rsid w:val="008B50C8"/>
    <w:rsid w:val="008B5281"/>
    <w:rsid w:val="008B6ECA"/>
    <w:rsid w:val="008B7E05"/>
    <w:rsid w:val="008C1797"/>
    <w:rsid w:val="008C219C"/>
    <w:rsid w:val="008C475E"/>
    <w:rsid w:val="008C619A"/>
    <w:rsid w:val="008D0CE8"/>
    <w:rsid w:val="008D2D1D"/>
    <w:rsid w:val="008D453D"/>
    <w:rsid w:val="008D4AB2"/>
    <w:rsid w:val="008D53AD"/>
    <w:rsid w:val="008D562B"/>
    <w:rsid w:val="008D5733"/>
    <w:rsid w:val="008D622B"/>
    <w:rsid w:val="008D666C"/>
    <w:rsid w:val="008D7B54"/>
    <w:rsid w:val="008E0C9D"/>
    <w:rsid w:val="008E1648"/>
    <w:rsid w:val="008E1B3E"/>
    <w:rsid w:val="008E2319"/>
    <w:rsid w:val="008E41FD"/>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18"/>
    <w:rsid w:val="00913CA9"/>
    <w:rsid w:val="009145AE"/>
    <w:rsid w:val="009146CE"/>
    <w:rsid w:val="00914CA7"/>
    <w:rsid w:val="00915C3E"/>
    <w:rsid w:val="009161A8"/>
    <w:rsid w:val="00922894"/>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97D30"/>
    <w:rsid w:val="009A089C"/>
    <w:rsid w:val="009A118E"/>
    <w:rsid w:val="009A21CD"/>
    <w:rsid w:val="009A278C"/>
    <w:rsid w:val="009A2BC2"/>
    <w:rsid w:val="009A42C1"/>
    <w:rsid w:val="009A5429"/>
    <w:rsid w:val="009A72AD"/>
    <w:rsid w:val="009B09E0"/>
    <w:rsid w:val="009B0BC5"/>
    <w:rsid w:val="009B1247"/>
    <w:rsid w:val="009B5B79"/>
    <w:rsid w:val="009B6029"/>
    <w:rsid w:val="009B6971"/>
    <w:rsid w:val="009C0154"/>
    <w:rsid w:val="009C27F1"/>
    <w:rsid w:val="009C3152"/>
    <w:rsid w:val="009C3257"/>
    <w:rsid w:val="009C4CFA"/>
    <w:rsid w:val="009C5070"/>
    <w:rsid w:val="009D112C"/>
    <w:rsid w:val="009D1385"/>
    <w:rsid w:val="009D47FA"/>
    <w:rsid w:val="009D4C5B"/>
    <w:rsid w:val="009D4F94"/>
    <w:rsid w:val="009D50D2"/>
    <w:rsid w:val="009D6BCA"/>
    <w:rsid w:val="009D7338"/>
    <w:rsid w:val="009D784A"/>
    <w:rsid w:val="009E0F62"/>
    <w:rsid w:val="009E4A58"/>
    <w:rsid w:val="009E5A2D"/>
    <w:rsid w:val="009E5AB2"/>
    <w:rsid w:val="009E6219"/>
    <w:rsid w:val="009F03B3"/>
    <w:rsid w:val="009F77ED"/>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6BEF"/>
    <w:rsid w:val="00AE070A"/>
    <w:rsid w:val="00AE101C"/>
    <w:rsid w:val="00AE2A69"/>
    <w:rsid w:val="00AE37E5"/>
    <w:rsid w:val="00AE5EB4"/>
    <w:rsid w:val="00AF0C18"/>
    <w:rsid w:val="00AF47C5"/>
    <w:rsid w:val="00AF5398"/>
    <w:rsid w:val="00B029EF"/>
    <w:rsid w:val="00B049AF"/>
    <w:rsid w:val="00B07242"/>
    <w:rsid w:val="00B10534"/>
    <w:rsid w:val="00B113DB"/>
    <w:rsid w:val="00B11D8A"/>
    <w:rsid w:val="00B12981"/>
    <w:rsid w:val="00B147DD"/>
    <w:rsid w:val="00B156FD"/>
    <w:rsid w:val="00B21F61"/>
    <w:rsid w:val="00B261F1"/>
    <w:rsid w:val="00B265BC"/>
    <w:rsid w:val="00B277C2"/>
    <w:rsid w:val="00B31FB1"/>
    <w:rsid w:val="00B33952"/>
    <w:rsid w:val="00B33C5E"/>
    <w:rsid w:val="00B342F4"/>
    <w:rsid w:val="00B34369"/>
    <w:rsid w:val="00B34DC2"/>
    <w:rsid w:val="00B378E5"/>
    <w:rsid w:val="00B4346D"/>
    <w:rsid w:val="00B43B49"/>
    <w:rsid w:val="00B440F4"/>
    <w:rsid w:val="00B447A5"/>
    <w:rsid w:val="00B4654C"/>
    <w:rsid w:val="00B47293"/>
    <w:rsid w:val="00B50E50"/>
    <w:rsid w:val="00B52120"/>
    <w:rsid w:val="00B54ABC"/>
    <w:rsid w:val="00B56FBE"/>
    <w:rsid w:val="00B60ACF"/>
    <w:rsid w:val="00B62B58"/>
    <w:rsid w:val="00B65149"/>
    <w:rsid w:val="00B66567"/>
    <w:rsid w:val="00B6657E"/>
    <w:rsid w:val="00B66F52"/>
    <w:rsid w:val="00B66FE5"/>
    <w:rsid w:val="00B72880"/>
    <w:rsid w:val="00B7429D"/>
    <w:rsid w:val="00B758BF"/>
    <w:rsid w:val="00B77EC8"/>
    <w:rsid w:val="00B827A6"/>
    <w:rsid w:val="00B831CE"/>
    <w:rsid w:val="00B84098"/>
    <w:rsid w:val="00B86677"/>
    <w:rsid w:val="00B87131"/>
    <w:rsid w:val="00B939B1"/>
    <w:rsid w:val="00B95869"/>
    <w:rsid w:val="00B96D40"/>
    <w:rsid w:val="00B97386"/>
    <w:rsid w:val="00BA263B"/>
    <w:rsid w:val="00BA42B2"/>
    <w:rsid w:val="00BA58D4"/>
    <w:rsid w:val="00BA5B9E"/>
    <w:rsid w:val="00BA7C9A"/>
    <w:rsid w:val="00BB5F8F"/>
    <w:rsid w:val="00BB657A"/>
    <w:rsid w:val="00BC1A4E"/>
    <w:rsid w:val="00BC3F8E"/>
    <w:rsid w:val="00BC5DC7"/>
    <w:rsid w:val="00BC6B8B"/>
    <w:rsid w:val="00BC73D8"/>
    <w:rsid w:val="00BD52D7"/>
    <w:rsid w:val="00BD5AD2"/>
    <w:rsid w:val="00BD6E18"/>
    <w:rsid w:val="00BE22F3"/>
    <w:rsid w:val="00BE4086"/>
    <w:rsid w:val="00BE5530"/>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7F"/>
    <w:rsid w:val="00C24C8D"/>
    <w:rsid w:val="00C25FE2"/>
    <w:rsid w:val="00C26B53"/>
    <w:rsid w:val="00C279B2"/>
    <w:rsid w:val="00C33E50"/>
    <w:rsid w:val="00C34C20"/>
    <w:rsid w:val="00C350AD"/>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7F4E"/>
    <w:rsid w:val="00C80CB8"/>
    <w:rsid w:val="00C819F8"/>
    <w:rsid w:val="00C8248C"/>
    <w:rsid w:val="00C84E33"/>
    <w:rsid w:val="00C8563D"/>
    <w:rsid w:val="00C861F4"/>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4124"/>
    <w:rsid w:val="00D25E37"/>
    <w:rsid w:val="00D2661A"/>
    <w:rsid w:val="00D27582"/>
    <w:rsid w:val="00D27EC4"/>
    <w:rsid w:val="00D32719"/>
    <w:rsid w:val="00D33333"/>
    <w:rsid w:val="00D352A2"/>
    <w:rsid w:val="00D4162B"/>
    <w:rsid w:val="00D43A7A"/>
    <w:rsid w:val="00D4514F"/>
    <w:rsid w:val="00D451E2"/>
    <w:rsid w:val="00D45E89"/>
    <w:rsid w:val="00D45E8D"/>
    <w:rsid w:val="00D466AE"/>
    <w:rsid w:val="00D4734F"/>
    <w:rsid w:val="00D51BF3"/>
    <w:rsid w:val="00D66846"/>
    <w:rsid w:val="00D675FB"/>
    <w:rsid w:val="00D71F25"/>
    <w:rsid w:val="00D72A9C"/>
    <w:rsid w:val="00D76FDE"/>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19CC"/>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971"/>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46131"/>
    <w:rsid w:val="00E502C1"/>
    <w:rsid w:val="00E502DD"/>
    <w:rsid w:val="00E50D3A"/>
    <w:rsid w:val="00E51387"/>
    <w:rsid w:val="00E51E68"/>
    <w:rsid w:val="00E52EFD"/>
    <w:rsid w:val="00E5408A"/>
    <w:rsid w:val="00E56800"/>
    <w:rsid w:val="00E60C63"/>
    <w:rsid w:val="00E62FF9"/>
    <w:rsid w:val="00E635D6"/>
    <w:rsid w:val="00E639BC"/>
    <w:rsid w:val="00E664CC"/>
    <w:rsid w:val="00E66B5E"/>
    <w:rsid w:val="00E70388"/>
    <w:rsid w:val="00E70F92"/>
    <w:rsid w:val="00E74313"/>
    <w:rsid w:val="00E74C54"/>
    <w:rsid w:val="00E77133"/>
    <w:rsid w:val="00E77A03"/>
    <w:rsid w:val="00E822E8"/>
    <w:rsid w:val="00E82554"/>
    <w:rsid w:val="00E82606"/>
    <w:rsid w:val="00E831C1"/>
    <w:rsid w:val="00E846C8"/>
    <w:rsid w:val="00E84957"/>
    <w:rsid w:val="00E84A55"/>
    <w:rsid w:val="00E85835"/>
    <w:rsid w:val="00E85BFF"/>
    <w:rsid w:val="00E86207"/>
    <w:rsid w:val="00E879C2"/>
    <w:rsid w:val="00E90391"/>
    <w:rsid w:val="00E906C2"/>
    <w:rsid w:val="00E9311F"/>
    <w:rsid w:val="00E934D1"/>
    <w:rsid w:val="00E94AF0"/>
    <w:rsid w:val="00E95D13"/>
    <w:rsid w:val="00E95DD3"/>
    <w:rsid w:val="00E969D5"/>
    <w:rsid w:val="00EA3CB8"/>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4BF3"/>
    <w:rsid w:val="00EF7E72"/>
    <w:rsid w:val="00F06D37"/>
    <w:rsid w:val="00F07B9D"/>
    <w:rsid w:val="00F11586"/>
    <w:rsid w:val="00F1183B"/>
    <w:rsid w:val="00F11C9F"/>
    <w:rsid w:val="00F12263"/>
    <w:rsid w:val="00F1409D"/>
    <w:rsid w:val="00F14214"/>
    <w:rsid w:val="00F157A9"/>
    <w:rsid w:val="00F16F00"/>
    <w:rsid w:val="00F25BB6"/>
    <w:rsid w:val="00F2646D"/>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47"/>
    <w:rsid w:val="00FB45F1"/>
    <w:rsid w:val="00FB4A72"/>
    <w:rsid w:val="00FB54E8"/>
    <w:rsid w:val="00FB7054"/>
    <w:rsid w:val="00FC17B7"/>
    <w:rsid w:val="00FC2CB7"/>
    <w:rsid w:val="00FC4090"/>
    <w:rsid w:val="00FC55B4"/>
    <w:rsid w:val="00FD00E6"/>
    <w:rsid w:val="00FD09A1"/>
    <w:rsid w:val="00FD2A7C"/>
    <w:rsid w:val="00FD59EB"/>
    <w:rsid w:val="00FD7299"/>
    <w:rsid w:val="00FE0565"/>
    <w:rsid w:val="00FE1FBE"/>
    <w:rsid w:val="00FE3901"/>
    <w:rsid w:val="00FE39D3"/>
    <w:rsid w:val="00FE4BCE"/>
    <w:rsid w:val="00FE54AE"/>
    <w:rsid w:val="00FE576A"/>
    <w:rsid w:val="00FE7E79"/>
    <w:rsid w:val="00FF3E7D"/>
    <w:rsid w:val="00FF5B99"/>
    <w:rsid w:val="00FF730C"/>
    <w:rsid w:val="00FF73F4"/>
    <w:rsid w:val="00FF7CE4"/>
    <w:rsid w:val="00FF7E39"/>
    <w:rsid w:val="012515C4"/>
    <w:rsid w:val="01325A8F"/>
    <w:rsid w:val="014A2DD9"/>
    <w:rsid w:val="018856AF"/>
    <w:rsid w:val="019A604D"/>
    <w:rsid w:val="01AE15BA"/>
    <w:rsid w:val="01B82438"/>
    <w:rsid w:val="01EE5E5A"/>
    <w:rsid w:val="01F1594A"/>
    <w:rsid w:val="02105DD0"/>
    <w:rsid w:val="022A49B8"/>
    <w:rsid w:val="02353A89"/>
    <w:rsid w:val="02571E41"/>
    <w:rsid w:val="026C6D7F"/>
    <w:rsid w:val="026E0D49"/>
    <w:rsid w:val="029562D6"/>
    <w:rsid w:val="02DF72E6"/>
    <w:rsid w:val="02E5725D"/>
    <w:rsid w:val="030E7E36"/>
    <w:rsid w:val="037B196F"/>
    <w:rsid w:val="03EE0393"/>
    <w:rsid w:val="041D2A27"/>
    <w:rsid w:val="043A5387"/>
    <w:rsid w:val="04BF763A"/>
    <w:rsid w:val="04EF43C3"/>
    <w:rsid w:val="05145BD8"/>
    <w:rsid w:val="052027CE"/>
    <w:rsid w:val="05571F68"/>
    <w:rsid w:val="05834B0B"/>
    <w:rsid w:val="05E80E12"/>
    <w:rsid w:val="063876A4"/>
    <w:rsid w:val="067A7CBC"/>
    <w:rsid w:val="070954E4"/>
    <w:rsid w:val="071A4FFB"/>
    <w:rsid w:val="0728596A"/>
    <w:rsid w:val="07524795"/>
    <w:rsid w:val="076D7821"/>
    <w:rsid w:val="078F7797"/>
    <w:rsid w:val="07950B26"/>
    <w:rsid w:val="07DE071F"/>
    <w:rsid w:val="07E6312F"/>
    <w:rsid w:val="080F6B2A"/>
    <w:rsid w:val="08204893"/>
    <w:rsid w:val="08624EAC"/>
    <w:rsid w:val="088A7F5F"/>
    <w:rsid w:val="08962DA7"/>
    <w:rsid w:val="08A92ADB"/>
    <w:rsid w:val="08B17BE1"/>
    <w:rsid w:val="08BF40AC"/>
    <w:rsid w:val="08C40BAE"/>
    <w:rsid w:val="08DD09D6"/>
    <w:rsid w:val="08E7715F"/>
    <w:rsid w:val="092108C3"/>
    <w:rsid w:val="093F51ED"/>
    <w:rsid w:val="0969226A"/>
    <w:rsid w:val="09970B85"/>
    <w:rsid w:val="099A0675"/>
    <w:rsid w:val="09A8773D"/>
    <w:rsid w:val="09CB4CD3"/>
    <w:rsid w:val="09F14739"/>
    <w:rsid w:val="0A206DCD"/>
    <w:rsid w:val="0A6842D0"/>
    <w:rsid w:val="0A8A06EA"/>
    <w:rsid w:val="0AA572D2"/>
    <w:rsid w:val="0AA95014"/>
    <w:rsid w:val="0AD61B81"/>
    <w:rsid w:val="0AF10769"/>
    <w:rsid w:val="0AFF2E86"/>
    <w:rsid w:val="0B3F3282"/>
    <w:rsid w:val="0B64718D"/>
    <w:rsid w:val="0BD04822"/>
    <w:rsid w:val="0C0A4976"/>
    <w:rsid w:val="0C1E558E"/>
    <w:rsid w:val="0C430B50"/>
    <w:rsid w:val="0C7E7DDA"/>
    <w:rsid w:val="0C807FF6"/>
    <w:rsid w:val="0C895AED"/>
    <w:rsid w:val="0CB8153E"/>
    <w:rsid w:val="0D295F98"/>
    <w:rsid w:val="0D2A1D10"/>
    <w:rsid w:val="0D611BD6"/>
    <w:rsid w:val="0D8B6C53"/>
    <w:rsid w:val="0D9C49BC"/>
    <w:rsid w:val="0DDA1988"/>
    <w:rsid w:val="0DF2282E"/>
    <w:rsid w:val="0DFF4F4B"/>
    <w:rsid w:val="0E1B7FD7"/>
    <w:rsid w:val="0E364E11"/>
    <w:rsid w:val="0E8042DE"/>
    <w:rsid w:val="0EEE7499"/>
    <w:rsid w:val="0EFF16A6"/>
    <w:rsid w:val="0F0071CD"/>
    <w:rsid w:val="0F1B7B63"/>
    <w:rsid w:val="0F73174D"/>
    <w:rsid w:val="1057106E"/>
    <w:rsid w:val="10611EED"/>
    <w:rsid w:val="1068327B"/>
    <w:rsid w:val="106D0892"/>
    <w:rsid w:val="109202F8"/>
    <w:rsid w:val="10DB1C9F"/>
    <w:rsid w:val="10F93ED3"/>
    <w:rsid w:val="111B6540"/>
    <w:rsid w:val="1158509E"/>
    <w:rsid w:val="116E041E"/>
    <w:rsid w:val="11AE1162"/>
    <w:rsid w:val="11BF6ECB"/>
    <w:rsid w:val="11D81D3B"/>
    <w:rsid w:val="11DC5CCF"/>
    <w:rsid w:val="125A6BF4"/>
    <w:rsid w:val="12641821"/>
    <w:rsid w:val="12E34E3B"/>
    <w:rsid w:val="132A2A6A"/>
    <w:rsid w:val="133236CD"/>
    <w:rsid w:val="13453400"/>
    <w:rsid w:val="13781A27"/>
    <w:rsid w:val="143811B7"/>
    <w:rsid w:val="14700951"/>
    <w:rsid w:val="148166BA"/>
    <w:rsid w:val="148443FC"/>
    <w:rsid w:val="14887A48"/>
    <w:rsid w:val="14952165"/>
    <w:rsid w:val="14D233B9"/>
    <w:rsid w:val="150D619F"/>
    <w:rsid w:val="15192D96"/>
    <w:rsid w:val="151B6B0E"/>
    <w:rsid w:val="1525173B"/>
    <w:rsid w:val="157B75AD"/>
    <w:rsid w:val="159A3ED7"/>
    <w:rsid w:val="1618304E"/>
    <w:rsid w:val="16526560"/>
    <w:rsid w:val="1687491E"/>
    <w:rsid w:val="16906F14"/>
    <w:rsid w:val="16AF39B2"/>
    <w:rsid w:val="16E55626"/>
    <w:rsid w:val="17123F41"/>
    <w:rsid w:val="171B2DF6"/>
    <w:rsid w:val="17AC7EF2"/>
    <w:rsid w:val="17C57205"/>
    <w:rsid w:val="17F11DA8"/>
    <w:rsid w:val="17F81389"/>
    <w:rsid w:val="183323C1"/>
    <w:rsid w:val="1876405C"/>
    <w:rsid w:val="18891FE1"/>
    <w:rsid w:val="18AB01A9"/>
    <w:rsid w:val="18B21538"/>
    <w:rsid w:val="18DC4807"/>
    <w:rsid w:val="18E35B95"/>
    <w:rsid w:val="18E90CD1"/>
    <w:rsid w:val="195645B9"/>
    <w:rsid w:val="19A35324"/>
    <w:rsid w:val="1A5959E3"/>
    <w:rsid w:val="1A6920CA"/>
    <w:rsid w:val="1AC13E77"/>
    <w:rsid w:val="1AC92B69"/>
    <w:rsid w:val="1ADF05DE"/>
    <w:rsid w:val="1B1C538E"/>
    <w:rsid w:val="1B28788F"/>
    <w:rsid w:val="1B522B5E"/>
    <w:rsid w:val="1B5C1C2F"/>
    <w:rsid w:val="1B724FAE"/>
    <w:rsid w:val="1B793C4B"/>
    <w:rsid w:val="1B80591D"/>
    <w:rsid w:val="1BE85270"/>
    <w:rsid w:val="1BEC4D61"/>
    <w:rsid w:val="1BEC6B0F"/>
    <w:rsid w:val="1BFD6F6E"/>
    <w:rsid w:val="1C3D380E"/>
    <w:rsid w:val="1C4A5F2B"/>
    <w:rsid w:val="1C9378D2"/>
    <w:rsid w:val="1C984EE8"/>
    <w:rsid w:val="1CAB69CA"/>
    <w:rsid w:val="1CC45CDD"/>
    <w:rsid w:val="1D0600A4"/>
    <w:rsid w:val="1D392227"/>
    <w:rsid w:val="1D85546D"/>
    <w:rsid w:val="1DD41F50"/>
    <w:rsid w:val="1E227A39"/>
    <w:rsid w:val="1E48649A"/>
    <w:rsid w:val="1E4A0464"/>
    <w:rsid w:val="1EA55764"/>
    <w:rsid w:val="1EF83A1C"/>
    <w:rsid w:val="1F7A6B27"/>
    <w:rsid w:val="1F833C2E"/>
    <w:rsid w:val="1FEF3071"/>
    <w:rsid w:val="206375BB"/>
    <w:rsid w:val="20A53730"/>
    <w:rsid w:val="20AE6A88"/>
    <w:rsid w:val="20EF0E4F"/>
    <w:rsid w:val="20F65F85"/>
    <w:rsid w:val="210466A8"/>
    <w:rsid w:val="213B4094"/>
    <w:rsid w:val="21423675"/>
    <w:rsid w:val="215A09BE"/>
    <w:rsid w:val="21EF7359"/>
    <w:rsid w:val="222334A6"/>
    <w:rsid w:val="2254540E"/>
    <w:rsid w:val="22761828"/>
    <w:rsid w:val="227B0BEC"/>
    <w:rsid w:val="22D12F02"/>
    <w:rsid w:val="22D447A0"/>
    <w:rsid w:val="22D84291"/>
    <w:rsid w:val="22F32E79"/>
    <w:rsid w:val="230213B5"/>
    <w:rsid w:val="23052BAC"/>
    <w:rsid w:val="2322550C"/>
    <w:rsid w:val="236478D2"/>
    <w:rsid w:val="238166D6"/>
    <w:rsid w:val="239C706C"/>
    <w:rsid w:val="23A221A9"/>
    <w:rsid w:val="23AD74CB"/>
    <w:rsid w:val="23B32608"/>
    <w:rsid w:val="23DB1C0A"/>
    <w:rsid w:val="241A2687"/>
    <w:rsid w:val="24303C58"/>
    <w:rsid w:val="2435126F"/>
    <w:rsid w:val="24653902"/>
    <w:rsid w:val="24747FE9"/>
    <w:rsid w:val="247955FF"/>
    <w:rsid w:val="248144B4"/>
    <w:rsid w:val="24C26FA6"/>
    <w:rsid w:val="24DE4DA2"/>
    <w:rsid w:val="250749B9"/>
    <w:rsid w:val="253F23A5"/>
    <w:rsid w:val="258E50DA"/>
    <w:rsid w:val="25AC730F"/>
    <w:rsid w:val="25DC5E46"/>
    <w:rsid w:val="25E20F82"/>
    <w:rsid w:val="25F3318F"/>
    <w:rsid w:val="26090D15"/>
    <w:rsid w:val="2610789E"/>
    <w:rsid w:val="26154EB4"/>
    <w:rsid w:val="26170C2C"/>
    <w:rsid w:val="265A320F"/>
    <w:rsid w:val="267E6EFD"/>
    <w:rsid w:val="26EA4592"/>
    <w:rsid w:val="27127645"/>
    <w:rsid w:val="271E2638"/>
    <w:rsid w:val="272E26D1"/>
    <w:rsid w:val="278A18D2"/>
    <w:rsid w:val="278F0C96"/>
    <w:rsid w:val="27CC1EEA"/>
    <w:rsid w:val="27E70AD2"/>
    <w:rsid w:val="28186EDD"/>
    <w:rsid w:val="28373807"/>
    <w:rsid w:val="286914E7"/>
    <w:rsid w:val="288051AE"/>
    <w:rsid w:val="28C11323"/>
    <w:rsid w:val="28F15F1E"/>
    <w:rsid w:val="28F9286B"/>
    <w:rsid w:val="29003BF9"/>
    <w:rsid w:val="293935AF"/>
    <w:rsid w:val="29413E81"/>
    <w:rsid w:val="295959FF"/>
    <w:rsid w:val="296A782E"/>
    <w:rsid w:val="29915199"/>
    <w:rsid w:val="29CE5AA6"/>
    <w:rsid w:val="29DB01C2"/>
    <w:rsid w:val="29EE439A"/>
    <w:rsid w:val="29F04FFF"/>
    <w:rsid w:val="2A0616E3"/>
    <w:rsid w:val="2A225DF1"/>
    <w:rsid w:val="2A286AF0"/>
    <w:rsid w:val="2A992557"/>
    <w:rsid w:val="2A9F7442"/>
    <w:rsid w:val="2ADB491E"/>
    <w:rsid w:val="2B1E2A5D"/>
    <w:rsid w:val="2B25203D"/>
    <w:rsid w:val="2B726905"/>
    <w:rsid w:val="2C163734"/>
    <w:rsid w:val="2C7E7C57"/>
    <w:rsid w:val="2C8D1C48"/>
    <w:rsid w:val="2C8F7B53"/>
    <w:rsid w:val="2CEB696E"/>
    <w:rsid w:val="2CED6B8B"/>
    <w:rsid w:val="2CEF46B1"/>
    <w:rsid w:val="2CF27CFD"/>
    <w:rsid w:val="2D016192"/>
    <w:rsid w:val="2D173C07"/>
    <w:rsid w:val="2D430559"/>
    <w:rsid w:val="2D556F96"/>
    <w:rsid w:val="2D945258"/>
    <w:rsid w:val="2DB651CE"/>
    <w:rsid w:val="2DB66F7C"/>
    <w:rsid w:val="2DBD655D"/>
    <w:rsid w:val="2DD9710F"/>
    <w:rsid w:val="2DE0049D"/>
    <w:rsid w:val="2DE0224B"/>
    <w:rsid w:val="2E861045"/>
    <w:rsid w:val="2EB216C5"/>
    <w:rsid w:val="2EB23BE8"/>
    <w:rsid w:val="2EC76F67"/>
    <w:rsid w:val="2EE144CD"/>
    <w:rsid w:val="2EFA10EB"/>
    <w:rsid w:val="2F395FE2"/>
    <w:rsid w:val="2F3A3BDD"/>
    <w:rsid w:val="2F4862FA"/>
    <w:rsid w:val="2F9257C7"/>
    <w:rsid w:val="2FB83480"/>
    <w:rsid w:val="2FD23E16"/>
    <w:rsid w:val="2FE75B13"/>
    <w:rsid w:val="304B42F4"/>
    <w:rsid w:val="304C3BC8"/>
    <w:rsid w:val="305B02AF"/>
    <w:rsid w:val="3062163D"/>
    <w:rsid w:val="30D047F9"/>
    <w:rsid w:val="30F67062"/>
    <w:rsid w:val="30F85AFE"/>
    <w:rsid w:val="313F3A21"/>
    <w:rsid w:val="315F16D9"/>
    <w:rsid w:val="31F91B2E"/>
    <w:rsid w:val="32130E41"/>
    <w:rsid w:val="322F37A1"/>
    <w:rsid w:val="322F4758"/>
    <w:rsid w:val="32A63A63"/>
    <w:rsid w:val="32AC3044"/>
    <w:rsid w:val="32DC56D7"/>
    <w:rsid w:val="32E75E2A"/>
    <w:rsid w:val="32EE540A"/>
    <w:rsid w:val="32FA3DAF"/>
    <w:rsid w:val="331D4A54"/>
    <w:rsid w:val="33490893"/>
    <w:rsid w:val="33857B1D"/>
    <w:rsid w:val="33923FE8"/>
    <w:rsid w:val="33D771D0"/>
    <w:rsid w:val="33E32A95"/>
    <w:rsid w:val="342804A8"/>
    <w:rsid w:val="345D2848"/>
    <w:rsid w:val="346A6D13"/>
    <w:rsid w:val="34A02734"/>
    <w:rsid w:val="34F767F8"/>
    <w:rsid w:val="35131158"/>
    <w:rsid w:val="35372D6D"/>
    <w:rsid w:val="353A41C2"/>
    <w:rsid w:val="3569521C"/>
    <w:rsid w:val="358D2CB9"/>
    <w:rsid w:val="35A16764"/>
    <w:rsid w:val="35A87AF3"/>
    <w:rsid w:val="35B013FB"/>
    <w:rsid w:val="35B50461"/>
    <w:rsid w:val="35D07049"/>
    <w:rsid w:val="36115C43"/>
    <w:rsid w:val="368C2F70"/>
    <w:rsid w:val="36987940"/>
    <w:rsid w:val="36B14785"/>
    <w:rsid w:val="36B50719"/>
    <w:rsid w:val="36C3270A"/>
    <w:rsid w:val="36D36DF1"/>
    <w:rsid w:val="36DF5796"/>
    <w:rsid w:val="370E607B"/>
    <w:rsid w:val="37305FF2"/>
    <w:rsid w:val="373F7FE3"/>
    <w:rsid w:val="375A12C0"/>
    <w:rsid w:val="376277A1"/>
    <w:rsid w:val="37863E63"/>
    <w:rsid w:val="379C71E3"/>
    <w:rsid w:val="37DE5A4E"/>
    <w:rsid w:val="38207E14"/>
    <w:rsid w:val="383A69FC"/>
    <w:rsid w:val="386A108F"/>
    <w:rsid w:val="388F0AF6"/>
    <w:rsid w:val="393618B9"/>
    <w:rsid w:val="398B750F"/>
    <w:rsid w:val="39934616"/>
    <w:rsid w:val="39965EB4"/>
    <w:rsid w:val="39C649EB"/>
    <w:rsid w:val="39D215E2"/>
    <w:rsid w:val="3A0F6392"/>
    <w:rsid w:val="3A190FBF"/>
    <w:rsid w:val="3A944AE9"/>
    <w:rsid w:val="3A970136"/>
    <w:rsid w:val="3ACD1DA9"/>
    <w:rsid w:val="3ACE7FFB"/>
    <w:rsid w:val="3ACF62F1"/>
    <w:rsid w:val="3AE839B2"/>
    <w:rsid w:val="3B351E28"/>
    <w:rsid w:val="3B381919"/>
    <w:rsid w:val="3B5878C5"/>
    <w:rsid w:val="3B934DA1"/>
    <w:rsid w:val="3BB07701"/>
    <w:rsid w:val="3BBD597A"/>
    <w:rsid w:val="3BBF5B96"/>
    <w:rsid w:val="3BF03FA1"/>
    <w:rsid w:val="3C4B742A"/>
    <w:rsid w:val="3C5A58BF"/>
    <w:rsid w:val="3C5C5193"/>
    <w:rsid w:val="3CAF79B9"/>
    <w:rsid w:val="3CB74ABF"/>
    <w:rsid w:val="3CDB07AE"/>
    <w:rsid w:val="3D033860"/>
    <w:rsid w:val="3D255ECD"/>
    <w:rsid w:val="3D2A34E3"/>
    <w:rsid w:val="3D453E79"/>
    <w:rsid w:val="3D711112"/>
    <w:rsid w:val="3D98044D"/>
    <w:rsid w:val="3DFF4589"/>
    <w:rsid w:val="3E151A9D"/>
    <w:rsid w:val="3E263CAA"/>
    <w:rsid w:val="3E4405D4"/>
    <w:rsid w:val="3E75253C"/>
    <w:rsid w:val="3ECD4126"/>
    <w:rsid w:val="3ED454B4"/>
    <w:rsid w:val="3F253F62"/>
    <w:rsid w:val="3F3643C1"/>
    <w:rsid w:val="3F7E18C4"/>
    <w:rsid w:val="3FC25C55"/>
    <w:rsid w:val="3FDB2873"/>
    <w:rsid w:val="40A67324"/>
    <w:rsid w:val="40B530C4"/>
    <w:rsid w:val="40C854ED"/>
    <w:rsid w:val="40EA5463"/>
    <w:rsid w:val="4162149D"/>
    <w:rsid w:val="416845DA"/>
    <w:rsid w:val="418C651A"/>
    <w:rsid w:val="41AF3FB7"/>
    <w:rsid w:val="41DB2FFE"/>
    <w:rsid w:val="42291FBB"/>
    <w:rsid w:val="42666D6B"/>
    <w:rsid w:val="428216CB"/>
    <w:rsid w:val="428C42F8"/>
    <w:rsid w:val="42F26851"/>
    <w:rsid w:val="42F70F0D"/>
    <w:rsid w:val="430B7913"/>
    <w:rsid w:val="43160791"/>
    <w:rsid w:val="438A6A89"/>
    <w:rsid w:val="43CC0E50"/>
    <w:rsid w:val="43E97C54"/>
    <w:rsid w:val="43F6411F"/>
    <w:rsid w:val="43F87E97"/>
    <w:rsid w:val="44250560"/>
    <w:rsid w:val="44384737"/>
    <w:rsid w:val="445552E9"/>
    <w:rsid w:val="44894F93"/>
    <w:rsid w:val="449C6A74"/>
    <w:rsid w:val="450D7972"/>
    <w:rsid w:val="4513485D"/>
    <w:rsid w:val="452F78E8"/>
    <w:rsid w:val="45343151"/>
    <w:rsid w:val="453A628D"/>
    <w:rsid w:val="4545710C"/>
    <w:rsid w:val="458614D2"/>
    <w:rsid w:val="45A55DFD"/>
    <w:rsid w:val="460F771A"/>
    <w:rsid w:val="466B16B2"/>
    <w:rsid w:val="467A1037"/>
    <w:rsid w:val="468B4FF2"/>
    <w:rsid w:val="471E5E67"/>
    <w:rsid w:val="47213261"/>
    <w:rsid w:val="473C62ED"/>
    <w:rsid w:val="47543636"/>
    <w:rsid w:val="47CD33E9"/>
    <w:rsid w:val="47F15329"/>
    <w:rsid w:val="47FE7A46"/>
    <w:rsid w:val="4812704D"/>
    <w:rsid w:val="487F0B87"/>
    <w:rsid w:val="48981C49"/>
    <w:rsid w:val="48FF3A76"/>
    <w:rsid w:val="491F1A22"/>
    <w:rsid w:val="49247038"/>
    <w:rsid w:val="49303C2F"/>
    <w:rsid w:val="495711BC"/>
    <w:rsid w:val="496202BA"/>
    <w:rsid w:val="49B605D8"/>
    <w:rsid w:val="49DC5B65"/>
    <w:rsid w:val="49E07403"/>
    <w:rsid w:val="49EC224C"/>
    <w:rsid w:val="4A1B043B"/>
    <w:rsid w:val="4A273284"/>
    <w:rsid w:val="4A477482"/>
    <w:rsid w:val="4AB97C54"/>
    <w:rsid w:val="4AC960E9"/>
    <w:rsid w:val="4AD60754"/>
    <w:rsid w:val="4ADA3A6B"/>
    <w:rsid w:val="4ADF76BB"/>
    <w:rsid w:val="4AFA2747"/>
    <w:rsid w:val="4B103D18"/>
    <w:rsid w:val="4B1A1213"/>
    <w:rsid w:val="4B221C9D"/>
    <w:rsid w:val="4B3F63AB"/>
    <w:rsid w:val="4B62209A"/>
    <w:rsid w:val="4BA10E14"/>
    <w:rsid w:val="4BA97CC9"/>
    <w:rsid w:val="4BBC5C4E"/>
    <w:rsid w:val="4BEE392E"/>
    <w:rsid w:val="4C043151"/>
    <w:rsid w:val="4C101AF6"/>
    <w:rsid w:val="4C1635B0"/>
    <w:rsid w:val="4C235CCD"/>
    <w:rsid w:val="4C2F6420"/>
    <w:rsid w:val="4C465518"/>
    <w:rsid w:val="4C6F0F12"/>
    <w:rsid w:val="4CE0596C"/>
    <w:rsid w:val="4D4D1254"/>
    <w:rsid w:val="4DC4528E"/>
    <w:rsid w:val="4E173610"/>
    <w:rsid w:val="4E393177"/>
    <w:rsid w:val="4E3A10AC"/>
    <w:rsid w:val="4E5C54C6"/>
    <w:rsid w:val="4E720846"/>
    <w:rsid w:val="4E7C3473"/>
    <w:rsid w:val="4E8113A6"/>
    <w:rsid w:val="4EC217CD"/>
    <w:rsid w:val="4F005E52"/>
    <w:rsid w:val="4F027E1C"/>
    <w:rsid w:val="4F1E452A"/>
    <w:rsid w:val="4F974A08"/>
    <w:rsid w:val="4F9A62A6"/>
    <w:rsid w:val="4FE237A9"/>
    <w:rsid w:val="4FFA4F97"/>
    <w:rsid w:val="50041972"/>
    <w:rsid w:val="50454464"/>
    <w:rsid w:val="506D5769"/>
    <w:rsid w:val="507460F2"/>
    <w:rsid w:val="50A82C45"/>
    <w:rsid w:val="50BB0282"/>
    <w:rsid w:val="50E81293"/>
    <w:rsid w:val="50F25C6E"/>
    <w:rsid w:val="512A365A"/>
    <w:rsid w:val="51361FFF"/>
    <w:rsid w:val="51363DAD"/>
    <w:rsid w:val="51937451"/>
    <w:rsid w:val="51DD06CC"/>
    <w:rsid w:val="51E14DA1"/>
    <w:rsid w:val="5212481A"/>
    <w:rsid w:val="52224331"/>
    <w:rsid w:val="522B4F1F"/>
    <w:rsid w:val="52412A09"/>
    <w:rsid w:val="527E3C5D"/>
    <w:rsid w:val="528A2602"/>
    <w:rsid w:val="52AA6800"/>
    <w:rsid w:val="530F6FAB"/>
    <w:rsid w:val="53185E60"/>
    <w:rsid w:val="53740BBC"/>
    <w:rsid w:val="53982AFD"/>
    <w:rsid w:val="53E73A84"/>
    <w:rsid w:val="54210D44"/>
    <w:rsid w:val="5429409D"/>
    <w:rsid w:val="54505185"/>
    <w:rsid w:val="54556C40"/>
    <w:rsid w:val="54624EB9"/>
    <w:rsid w:val="54774E08"/>
    <w:rsid w:val="54AD082A"/>
    <w:rsid w:val="54C6369A"/>
    <w:rsid w:val="553A1226"/>
    <w:rsid w:val="55EC35D4"/>
    <w:rsid w:val="56334D5F"/>
    <w:rsid w:val="567C6706"/>
    <w:rsid w:val="568B06F7"/>
    <w:rsid w:val="56D26326"/>
    <w:rsid w:val="57087F99"/>
    <w:rsid w:val="57837EE4"/>
    <w:rsid w:val="578E4942"/>
    <w:rsid w:val="57AE0B41"/>
    <w:rsid w:val="57B343A9"/>
    <w:rsid w:val="57CF2865"/>
    <w:rsid w:val="57D04F5B"/>
    <w:rsid w:val="57E5652D"/>
    <w:rsid w:val="58164938"/>
    <w:rsid w:val="581F37ED"/>
    <w:rsid w:val="583059FA"/>
    <w:rsid w:val="583155A2"/>
    <w:rsid w:val="58627B7D"/>
    <w:rsid w:val="5898534D"/>
    <w:rsid w:val="58B959EF"/>
    <w:rsid w:val="58E42340"/>
    <w:rsid w:val="59554FEC"/>
    <w:rsid w:val="5975743C"/>
    <w:rsid w:val="597933D0"/>
    <w:rsid w:val="59A0095D"/>
    <w:rsid w:val="59CE07A9"/>
    <w:rsid w:val="59D6612D"/>
    <w:rsid w:val="5A1804F3"/>
    <w:rsid w:val="5A2E41BB"/>
    <w:rsid w:val="5A3115B5"/>
    <w:rsid w:val="5A3572F7"/>
    <w:rsid w:val="5A3D61AC"/>
    <w:rsid w:val="5A9B1124"/>
    <w:rsid w:val="5AA71877"/>
    <w:rsid w:val="5AC93EE4"/>
    <w:rsid w:val="5AED7BD2"/>
    <w:rsid w:val="5AFE3B8D"/>
    <w:rsid w:val="5B323837"/>
    <w:rsid w:val="5B547C51"/>
    <w:rsid w:val="5BA30291"/>
    <w:rsid w:val="5BDC1BC4"/>
    <w:rsid w:val="5C190553"/>
    <w:rsid w:val="5C5F065B"/>
    <w:rsid w:val="5C814A76"/>
    <w:rsid w:val="5CCB3F43"/>
    <w:rsid w:val="5D213B63"/>
    <w:rsid w:val="5D467A6D"/>
    <w:rsid w:val="5D9205BD"/>
    <w:rsid w:val="5DD60DF1"/>
    <w:rsid w:val="5DE51034"/>
    <w:rsid w:val="5DEC23C3"/>
    <w:rsid w:val="5E9F5687"/>
    <w:rsid w:val="5EAA5DDA"/>
    <w:rsid w:val="5EDF3CD6"/>
    <w:rsid w:val="5F2762FF"/>
    <w:rsid w:val="5F9D61D9"/>
    <w:rsid w:val="5FAF36A8"/>
    <w:rsid w:val="5FC1162D"/>
    <w:rsid w:val="5FF27A39"/>
    <w:rsid w:val="601D6A63"/>
    <w:rsid w:val="603242D9"/>
    <w:rsid w:val="60343BAD"/>
    <w:rsid w:val="60457B68"/>
    <w:rsid w:val="605E6E7C"/>
    <w:rsid w:val="60AA0313"/>
    <w:rsid w:val="60C43183"/>
    <w:rsid w:val="61446072"/>
    <w:rsid w:val="61774699"/>
    <w:rsid w:val="61B431F8"/>
    <w:rsid w:val="61C96577"/>
    <w:rsid w:val="624B3430"/>
    <w:rsid w:val="62586279"/>
    <w:rsid w:val="626562A0"/>
    <w:rsid w:val="62856942"/>
    <w:rsid w:val="62863317"/>
    <w:rsid w:val="62A72D5C"/>
    <w:rsid w:val="62CA6A4B"/>
    <w:rsid w:val="62D33B51"/>
    <w:rsid w:val="62DF24F6"/>
    <w:rsid w:val="62F835B8"/>
    <w:rsid w:val="632919C3"/>
    <w:rsid w:val="636A0DA9"/>
    <w:rsid w:val="63716C1F"/>
    <w:rsid w:val="63D538F9"/>
    <w:rsid w:val="64410F8F"/>
    <w:rsid w:val="647E4A19"/>
    <w:rsid w:val="64B96D77"/>
    <w:rsid w:val="651B47DA"/>
    <w:rsid w:val="654C3747"/>
    <w:rsid w:val="65680361"/>
    <w:rsid w:val="65BF660F"/>
    <w:rsid w:val="65F938CF"/>
    <w:rsid w:val="660758C0"/>
    <w:rsid w:val="66187ACD"/>
    <w:rsid w:val="662D17CA"/>
    <w:rsid w:val="663A3EE7"/>
    <w:rsid w:val="66A82BFF"/>
    <w:rsid w:val="670342D9"/>
    <w:rsid w:val="6751773B"/>
    <w:rsid w:val="676B07FC"/>
    <w:rsid w:val="6773320D"/>
    <w:rsid w:val="67BD6B7E"/>
    <w:rsid w:val="67D839B8"/>
    <w:rsid w:val="68106CAE"/>
    <w:rsid w:val="684E77D6"/>
    <w:rsid w:val="68757459"/>
    <w:rsid w:val="687F5BE1"/>
    <w:rsid w:val="688D02FE"/>
    <w:rsid w:val="68993147"/>
    <w:rsid w:val="68D45F2D"/>
    <w:rsid w:val="68DC1286"/>
    <w:rsid w:val="69456E2B"/>
    <w:rsid w:val="69472BA3"/>
    <w:rsid w:val="694A2693"/>
    <w:rsid w:val="69B55D5F"/>
    <w:rsid w:val="69F66377"/>
    <w:rsid w:val="6A1862EE"/>
    <w:rsid w:val="6A756449"/>
    <w:rsid w:val="6A7C4ACE"/>
    <w:rsid w:val="6A7E0847"/>
    <w:rsid w:val="6AB204F0"/>
    <w:rsid w:val="6AC124E1"/>
    <w:rsid w:val="6B08551D"/>
    <w:rsid w:val="6B0A032C"/>
    <w:rsid w:val="6B0C5E52"/>
    <w:rsid w:val="6B4849B1"/>
    <w:rsid w:val="6B735ED1"/>
    <w:rsid w:val="6B7B4D86"/>
    <w:rsid w:val="6BB65DBE"/>
    <w:rsid w:val="6C496C32"/>
    <w:rsid w:val="6C4B4758"/>
    <w:rsid w:val="6C5F6456"/>
    <w:rsid w:val="6C7D068A"/>
    <w:rsid w:val="6C7D68DC"/>
    <w:rsid w:val="6C8934D3"/>
    <w:rsid w:val="6CB22A29"/>
    <w:rsid w:val="6CC051DC"/>
    <w:rsid w:val="6CCB7647"/>
    <w:rsid w:val="6D4F0278"/>
    <w:rsid w:val="6D875C64"/>
    <w:rsid w:val="6D8F2D6B"/>
    <w:rsid w:val="6DAE1443"/>
    <w:rsid w:val="6DB12CE1"/>
    <w:rsid w:val="6E1B63AC"/>
    <w:rsid w:val="6E337B9A"/>
    <w:rsid w:val="6E361438"/>
    <w:rsid w:val="6E867CCA"/>
    <w:rsid w:val="6E900B48"/>
    <w:rsid w:val="6EAB3BD4"/>
    <w:rsid w:val="6ECD3B4B"/>
    <w:rsid w:val="6ED8429D"/>
    <w:rsid w:val="6EDC48A6"/>
    <w:rsid w:val="6EE3336E"/>
    <w:rsid w:val="6F12155D"/>
    <w:rsid w:val="6F2A2D4B"/>
    <w:rsid w:val="6F7A7103"/>
    <w:rsid w:val="6FAA194A"/>
    <w:rsid w:val="6FCC5C56"/>
    <w:rsid w:val="703069C4"/>
    <w:rsid w:val="70307176"/>
    <w:rsid w:val="703B0F88"/>
    <w:rsid w:val="70902438"/>
    <w:rsid w:val="70AB7EBB"/>
    <w:rsid w:val="7130216F"/>
    <w:rsid w:val="715440AF"/>
    <w:rsid w:val="71662034"/>
    <w:rsid w:val="71A30B93"/>
    <w:rsid w:val="71BE777B"/>
    <w:rsid w:val="72035AD5"/>
    <w:rsid w:val="722021E3"/>
    <w:rsid w:val="72231CD3"/>
    <w:rsid w:val="722515A8"/>
    <w:rsid w:val="722F0678"/>
    <w:rsid w:val="72330169"/>
    <w:rsid w:val="72760055"/>
    <w:rsid w:val="72BB3CBA"/>
    <w:rsid w:val="72F71196"/>
    <w:rsid w:val="730A72B6"/>
    <w:rsid w:val="73214465"/>
    <w:rsid w:val="73267CCD"/>
    <w:rsid w:val="7329331A"/>
    <w:rsid w:val="73357F10"/>
    <w:rsid w:val="738A025C"/>
    <w:rsid w:val="738B5D82"/>
    <w:rsid w:val="740F0761"/>
    <w:rsid w:val="7416389E"/>
    <w:rsid w:val="74336F09"/>
    <w:rsid w:val="74341F76"/>
    <w:rsid w:val="7460720F"/>
    <w:rsid w:val="746C7962"/>
    <w:rsid w:val="74956EB9"/>
    <w:rsid w:val="74A40EAA"/>
    <w:rsid w:val="751C3136"/>
    <w:rsid w:val="7524023C"/>
    <w:rsid w:val="75365188"/>
    <w:rsid w:val="753F5076"/>
    <w:rsid w:val="75662603"/>
    <w:rsid w:val="75852A91"/>
    <w:rsid w:val="75C630A2"/>
    <w:rsid w:val="75D21A46"/>
    <w:rsid w:val="75E023B5"/>
    <w:rsid w:val="76045978"/>
    <w:rsid w:val="76206C56"/>
    <w:rsid w:val="762322A2"/>
    <w:rsid w:val="76326989"/>
    <w:rsid w:val="765B5EE0"/>
    <w:rsid w:val="766823AB"/>
    <w:rsid w:val="767B0330"/>
    <w:rsid w:val="768947FB"/>
    <w:rsid w:val="76D4359C"/>
    <w:rsid w:val="76D57A40"/>
    <w:rsid w:val="76FB4FCD"/>
    <w:rsid w:val="778E4093"/>
    <w:rsid w:val="77901BB9"/>
    <w:rsid w:val="78CF226D"/>
    <w:rsid w:val="796432FD"/>
    <w:rsid w:val="79984D55"/>
    <w:rsid w:val="79D57D57"/>
    <w:rsid w:val="7A5073DE"/>
    <w:rsid w:val="7B2A40D3"/>
    <w:rsid w:val="7B5D1DB2"/>
    <w:rsid w:val="7B62386D"/>
    <w:rsid w:val="7B6E5D6D"/>
    <w:rsid w:val="7B7F00C5"/>
    <w:rsid w:val="7BBA0FB3"/>
    <w:rsid w:val="7BBF2A6D"/>
    <w:rsid w:val="7BD007D6"/>
    <w:rsid w:val="7BFE17E7"/>
    <w:rsid w:val="7C655AB6"/>
    <w:rsid w:val="7C765821"/>
    <w:rsid w:val="7C8810B1"/>
    <w:rsid w:val="7C8B0BA1"/>
    <w:rsid w:val="7C8F243F"/>
    <w:rsid w:val="7CB24380"/>
    <w:rsid w:val="7CB2612E"/>
    <w:rsid w:val="7CB46A32"/>
    <w:rsid w:val="7D2012E9"/>
    <w:rsid w:val="7D9D0B8C"/>
    <w:rsid w:val="7DA95783"/>
    <w:rsid w:val="7DBC5832"/>
    <w:rsid w:val="7DD87E16"/>
    <w:rsid w:val="7DDA3B8E"/>
    <w:rsid w:val="7DFB58B2"/>
    <w:rsid w:val="7E0B01EB"/>
    <w:rsid w:val="7E5576B9"/>
    <w:rsid w:val="7E633B84"/>
    <w:rsid w:val="7E7F4735"/>
    <w:rsid w:val="7ED625A7"/>
    <w:rsid w:val="7EF70770"/>
    <w:rsid w:val="7F4728CF"/>
    <w:rsid w:val="7F9B559F"/>
    <w:rsid w:val="7FCB5E84"/>
    <w:rsid w:val="7FCB7C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字符"/>
    <w:link w:val="2"/>
    <w:autoRedefine/>
    <w:qFormat/>
    <w:uiPriority w:val="0"/>
    <w:rPr>
      <w:b/>
      <w:bCs/>
      <w:kern w:val="44"/>
      <w:sz w:val="44"/>
      <w:szCs w:val="44"/>
    </w:rPr>
  </w:style>
  <w:style w:type="character" w:customStyle="1" w:styleId="35">
    <w:name w:val="标题 2 字符"/>
    <w:link w:val="3"/>
    <w:autoRedefine/>
    <w:qFormat/>
    <w:uiPriority w:val="0"/>
    <w:rPr>
      <w:rFonts w:ascii="Arial" w:hAnsi="Arial" w:eastAsia="黑体"/>
      <w:b/>
      <w:bCs/>
      <w:kern w:val="2"/>
      <w:sz w:val="32"/>
      <w:szCs w:val="32"/>
    </w:rPr>
  </w:style>
  <w:style w:type="character" w:customStyle="1" w:styleId="36">
    <w:name w:val="标题 3 字符"/>
    <w:link w:val="4"/>
    <w:autoRedefine/>
    <w:qFormat/>
    <w:uiPriority w:val="0"/>
    <w:rPr>
      <w:b/>
      <w:bCs/>
      <w:kern w:val="2"/>
      <w:sz w:val="32"/>
      <w:szCs w:val="32"/>
    </w:rPr>
  </w:style>
  <w:style w:type="character" w:customStyle="1" w:styleId="37">
    <w:name w:val="标题 4 字符"/>
    <w:link w:val="5"/>
    <w:autoRedefine/>
    <w:qFormat/>
    <w:uiPriority w:val="0"/>
    <w:rPr>
      <w:rFonts w:ascii="Arial" w:hAnsi="Arial" w:eastAsia="黑体"/>
      <w:b/>
      <w:bCs/>
      <w:kern w:val="2"/>
      <w:sz w:val="28"/>
      <w:szCs w:val="28"/>
    </w:rPr>
  </w:style>
  <w:style w:type="character" w:customStyle="1" w:styleId="38">
    <w:name w:val="标题 5 字符"/>
    <w:link w:val="6"/>
    <w:autoRedefine/>
    <w:qFormat/>
    <w:uiPriority w:val="0"/>
    <w:rPr>
      <w:b/>
      <w:bCs/>
      <w:kern w:val="2"/>
      <w:sz w:val="28"/>
      <w:szCs w:val="28"/>
    </w:rPr>
  </w:style>
  <w:style w:type="character" w:customStyle="1" w:styleId="39">
    <w:name w:val="标题 6 字符"/>
    <w:link w:val="7"/>
    <w:autoRedefine/>
    <w:qFormat/>
    <w:uiPriority w:val="0"/>
    <w:rPr>
      <w:rFonts w:ascii="Arial" w:hAnsi="Arial" w:eastAsia="黑体"/>
      <w:b/>
      <w:bCs/>
      <w:kern w:val="2"/>
      <w:sz w:val="24"/>
      <w:szCs w:val="24"/>
    </w:rPr>
  </w:style>
  <w:style w:type="character" w:customStyle="1" w:styleId="40">
    <w:name w:val="标题 7 字符"/>
    <w:link w:val="8"/>
    <w:autoRedefine/>
    <w:qFormat/>
    <w:uiPriority w:val="0"/>
    <w:rPr>
      <w:b/>
      <w:bCs/>
      <w:kern w:val="2"/>
      <w:sz w:val="24"/>
      <w:szCs w:val="24"/>
    </w:rPr>
  </w:style>
  <w:style w:type="character" w:customStyle="1" w:styleId="41">
    <w:name w:val="标题 8 字符"/>
    <w:link w:val="9"/>
    <w:autoRedefine/>
    <w:qFormat/>
    <w:uiPriority w:val="0"/>
    <w:rPr>
      <w:rFonts w:ascii="Arial" w:hAnsi="Arial" w:eastAsia="黑体"/>
      <w:kern w:val="2"/>
      <w:sz w:val="24"/>
      <w:szCs w:val="24"/>
    </w:rPr>
  </w:style>
  <w:style w:type="character" w:customStyle="1" w:styleId="42">
    <w:name w:val="标题 9 字符"/>
    <w:link w:val="10"/>
    <w:autoRedefine/>
    <w:qFormat/>
    <w:uiPriority w:val="0"/>
    <w:rPr>
      <w:rFonts w:ascii="Arial" w:hAnsi="Arial" w:eastAsia="黑体"/>
      <w:kern w:val="2"/>
      <w:sz w:val="21"/>
      <w:szCs w:val="21"/>
    </w:rPr>
  </w:style>
  <w:style w:type="character" w:customStyle="1" w:styleId="43">
    <w:name w:val="页眉 字符"/>
    <w:link w:val="18"/>
    <w:autoRedefine/>
    <w:qFormat/>
    <w:uiPriority w:val="99"/>
    <w:rPr>
      <w:kern w:val="2"/>
      <w:sz w:val="18"/>
      <w:szCs w:val="18"/>
    </w:rPr>
  </w:style>
  <w:style w:type="character" w:customStyle="1" w:styleId="44">
    <w:name w:val="页脚 字符"/>
    <w:link w:val="17"/>
    <w:autoRedefine/>
    <w:qFormat/>
    <w:uiPriority w:val="99"/>
    <w:rPr>
      <w:rFonts w:ascii="宋体"/>
      <w:kern w:val="2"/>
      <w:sz w:val="18"/>
      <w:szCs w:val="18"/>
    </w:rPr>
  </w:style>
  <w:style w:type="character" w:customStyle="1" w:styleId="45">
    <w:name w:val="批注框文本 字符"/>
    <w:link w:val="16"/>
    <w:autoRedefine/>
    <w:semiHidden/>
    <w:qFormat/>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字符"/>
    <w:link w:val="46"/>
    <w:autoRedefine/>
    <w:qFormat/>
    <w:uiPriority w:val="29"/>
    <w:rPr>
      <w:i/>
      <w:iCs/>
      <w:color w:val="000000"/>
      <w:kern w:val="2"/>
      <w:sz w:val="21"/>
      <w:szCs w:val="21"/>
    </w:rPr>
  </w:style>
  <w:style w:type="character" w:customStyle="1" w:styleId="48">
    <w:name w:val="标题 字符"/>
    <w:link w:val="25"/>
    <w:autoRedefine/>
    <w:qFormat/>
    <w:uiPriority w:val="0"/>
    <w:rPr>
      <w:rFonts w:ascii="Arial" w:hAnsi="Arial" w:cs="Arial"/>
      <w:b/>
      <w:bCs/>
      <w:kern w:val="2"/>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autoRedefine/>
    <w:qFormat/>
    <w:uiPriority w:val="0"/>
    <w:pPr>
      <w:spacing w:before="0" w:beforeLines="0" w:after="0" w:afterLines="0"/>
      <w:outlineLvl w:val="9"/>
    </w:pPr>
    <w:rPr>
      <w:rFonts w:ascii="宋体" w:eastAsia="宋体"/>
    </w:rPr>
  </w:style>
  <w:style w:type="paragraph" w:customStyle="1" w:styleId="163">
    <w:name w:val="标准文件_五级无标题"/>
    <w:basedOn w:val="103"/>
    <w:autoRedefine/>
    <w:qFormat/>
    <w:uiPriority w:val="0"/>
    <w:pPr>
      <w:spacing w:before="0" w:beforeLines="0" w:after="0" w:afterLines="0"/>
      <w:outlineLvl w:val="9"/>
    </w:pPr>
    <w:rPr>
      <w:rFonts w:ascii="宋体" w:eastAsia="宋体"/>
    </w:rPr>
  </w:style>
  <w:style w:type="paragraph" w:customStyle="1" w:styleId="164">
    <w:name w:val="标准文件_三级无标题"/>
    <w:basedOn w:val="94"/>
    <w:autoRedefine/>
    <w:qFormat/>
    <w:uiPriority w:val="0"/>
    <w:pPr>
      <w:spacing w:before="0" w:beforeLines="0" w:after="0" w:afterLines="0"/>
      <w:outlineLvl w:val="9"/>
    </w:pPr>
    <w:rPr>
      <w:rFonts w:ascii="宋体" w:eastAsia="宋体"/>
    </w:rPr>
  </w:style>
  <w:style w:type="paragraph" w:customStyle="1" w:styleId="165">
    <w:name w:val="标准文件_二级无标题"/>
    <w:basedOn w:val="65"/>
    <w:autoRedefine/>
    <w:qFormat/>
    <w:uiPriority w:val="0"/>
    <w:pPr>
      <w:spacing w:before="0" w:beforeLines="0" w:after="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autoRedefine/>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autoRedefine/>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autoRedefine/>
    <w:qFormat/>
    <w:uiPriority w:val="0"/>
    <w:rPr>
      <w:rFonts w:ascii="宋体" w:hAnsi="Times New Roman"/>
      <w:sz w:val="21"/>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autoRedefine/>
    <w:qFormat/>
    <w:uiPriority w:val="0"/>
    <w:pPr>
      <w:numPr>
        <w:ilvl w:val="1"/>
        <w:numId w:val="21"/>
      </w:numPr>
      <w:ind w:firstLine="0" w:firstLineChars="0"/>
    </w:pPr>
  </w:style>
  <w:style w:type="paragraph" w:customStyle="1" w:styleId="188">
    <w:name w:val="标准文件_三级项2"/>
    <w:basedOn w:val="56"/>
    <w:autoRedefine/>
    <w:qFormat/>
    <w:uiPriority w:val="0"/>
    <w:pPr>
      <w:numPr>
        <w:ilvl w:val="0"/>
        <w:numId w:val="30"/>
      </w:numPr>
      <w:spacing w:line="300" w:lineRule="exact"/>
      <w:ind w:firstLineChars="0"/>
    </w:pPr>
    <w:rPr>
      <w:rFonts w:ascii="Times New Roman"/>
    </w:rPr>
  </w:style>
  <w:style w:type="paragraph" w:customStyle="1" w:styleId="189">
    <w:name w:val="标准文件_一级项2"/>
    <w:basedOn w:val="56"/>
    <w:autoRedefine/>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autoRedefine/>
    <w:qFormat/>
    <w:uiPriority w:val="0"/>
    <w:pPr>
      <w:ind w:firstLine="420"/>
    </w:pPr>
    <w:rPr>
      <w:rFonts w:ascii="黑体" w:eastAsia="黑体"/>
    </w:rPr>
  </w:style>
  <w:style w:type="character" w:customStyle="1" w:styleId="191">
    <w:name w:val="标准文件_来源"/>
    <w:basedOn w:val="28"/>
    <w:autoRedefine/>
    <w:qFormat/>
    <w:uiPriority w:val="1"/>
    <w:rPr>
      <w:rFonts w:eastAsia="宋体"/>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56"/>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spacing w:before="57"/>
    </w:pPr>
    <w:rPr>
      <w:sz w:val="21"/>
    </w:rPr>
  </w:style>
  <w:style w:type="paragraph" w:customStyle="1" w:styleId="197">
    <w:name w:val="标准文件_文件名称"/>
    <w:basedOn w:val="56"/>
    <w:next w:val="56"/>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autoRedefine/>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autoRedefine/>
    <w:qFormat/>
    <w:uiPriority w:val="0"/>
    <w:pPr>
      <w:ind w:left="1049" w:firstLine="0" w:firstLineChars="0"/>
    </w:pPr>
    <w:rPr>
      <w:sz w:val="18"/>
    </w:rPr>
  </w:style>
  <w:style w:type="character" w:customStyle="1" w:styleId="209">
    <w:name w:val="标准文件_示例X后 字符"/>
    <w:basedOn w:val="184"/>
    <w:link w:val="208"/>
    <w:autoRedefine/>
    <w:qFormat/>
    <w:uiPriority w:val="0"/>
    <w:rPr>
      <w:rFonts w:ascii="宋体" w:hAnsi="Times New Roman"/>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autoRedefine/>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autoRedefine/>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autoRedefine/>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autoRedefine/>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autoRedefine/>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autoRedefine/>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autoRedefine/>
    <w:qFormat/>
    <w:uiPriority w:val="0"/>
    <w:pPr>
      <w:ind w:left="400" w:leftChars="200" w:hanging="200" w:hangingChars="200"/>
    </w:pPr>
    <w:rPr>
      <w:sz w:val="15"/>
    </w:rPr>
  </w:style>
  <w:style w:type="paragraph" w:customStyle="1" w:styleId="223">
    <w:name w:val="标准文件_术语条一"/>
    <w:basedOn w:val="162"/>
    <w:next w:val="56"/>
    <w:autoRedefine/>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autoRedefine/>
    <w:qFormat/>
    <w:uiPriority w:val="0"/>
  </w:style>
  <w:style w:type="paragraph" w:customStyle="1" w:styleId="227">
    <w:name w:val="标准文件_术语条五"/>
    <w:basedOn w:val="163"/>
    <w:next w:val="56"/>
    <w:autoRedefine/>
    <w:qFormat/>
    <w:uiPriority w:val="0"/>
  </w:style>
  <w:style w:type="paragraph" w:customStyle="1" w:styleId="2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autoRedefine/>
    <w:qFormat/>
    <w:uiPriority w:val="0"/>
    <w:rPr>
      <w:rFonts w:ascii="黑体" w:eastAsia="黑体"/>
      <w:spacing w:val="85"/>
      <w:w w:val="100"/>
      <w:position w:val="3"/>
      <w:sz w:val="28"/>
      <w:szCs w:val="28"/>
    </w:rPr>
  </w:style>
  <w:style w:type="paragraph" w:customStyle="1" w:styleId="230">
    <w:name w:val="Table Text"/>
    <w:basedOn w:val="1"/>
    <w:semiHidden/>
    <w:qFormat/>
    <w:uiPriority w:val="0"/>
    <w:rPr>
      <w:rFonts w:ascii="宋体" w:hAnsi="宋体" w:eastAsia="宋体" w:cs="宋体"/>
      <w:sz w:val="18"/>
      <w:szCs w:val="18"/>
      <w:lang w:val="en-US" w:eastAsia="en-US" w:bidi="ar-SA"/>
    </w:rPr>
  </w:style>
  <w:style w:type="table" w:customStyle="1" w:styleId="231">
    <w:name w:val="Table Normal"/>
    <w:semiHidden/>
    <w:unhideWhenUsed/>
    <w:qFormat/>
    <w:uiPriority w:val="0"/>
    <w:tblPr>
      <w:tblCellMar>
        <w:top w:w="0" w:type="dxa"/>
        <w:left w:w="0" w:type="dxa"/>
        <w:bottom w:w="0" w:type="dxa"/>
        <w:right w:w="0" w:type="dxa"/>
      </w:tblCellMar>
    </w:tblPr>
  </w:style>
  <w:style w:type="paragraph" w:customStyle="1" w:styleId="23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jpeg"/><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C7A3C8934FF4614B8FDE9C0B0D4B899"/>
        <w:style w:val=""/>
        <w:category>
          <w:name w:val="常规"/>
          <w:gallery w:val="placeholder"/>
        </w:category>
        <w:types>
          <w:type w:val="bbPlcHdr"/>
        </w:types>
        <w:behaviors>
          <w:behavior w:val="content"/>
        </w:behaviors>
        <w:description w:val=""/>
        <w:guid w:val="{E19FF17D-3FAA-4800-8C9E-7DD1D1E4A7E9}"/>
      </w:docPartPr>
      <w:docPartBody>
        <w:p w14:paraId="0D5A9D40">
          <w:pPr>
            <w:pStyle w:val="5"/>
          </w:pPr>
          <w:r>
            <w:rPr>
              <w:rStyle w:val="4"/>
              <w:rFonts w:hint="eastAsia"/>
            </w:rPr>
            <w:t>单击或点击此处输入文字。</w:t>
          </w:r>
        </w:p>
      </w:docPartBody>
    </w:docPart>
    <w:docPart>
      <w:docPartPr>
        <w:name w:val="7F48E6C3783E4E82AD98FDCE7C5A1BC7"/>
        <w:style w:val=""/>
        <w:category>
          <w:name w:val="常规"/>
          <w:gallery w:val="placeholder"/>
        </w:category>
        <w:types>
          <w:type w:val="bbPlcHdr"/>
        </w:types>
        <w:behaviors>
          <w:behavior w:val="content"/>
        </w:behaviors>
        <w:description w:val=""/>
        <w:guid w:val="{51F17202-35FA-4084-AD3C-67EFF5DB7A3D}"/>
      </w:docPartPr>
      <w:docPartBody>
        <w:p w14:paraId="3666438D">
          <w:pPr>
            <w:pStyle w:val="6"/>
          </w:pPr>
          <w:r>
            <w:rPr>
              <w:rStyle w:val="4"/>
              <w:rFonts w:hint="eastAsia"/>
            </w:rPr>
            <w:t>选择一项。</w:t>
          </w:r>
        </w:p>
      </w:docPartBody>
    </w:docPart>
    <w:docPart>
      <w:docPartPr>
        <w:name w:val="55F15F151005453EB6B19FEBD0B08BE2"/>
        <w:style w:val=""/>
        <w:category>
          <w:name w:val="常规"/>
          <w:gallery w:val="placeholder"/>
        </w:category>
        <w:types>
          <w:type w:val="bbPlcHdr"/>
        </w:types>
        <w:behaviors>
          <w:behavior w:val="content"/>
        </w:behaviors>
        <w:description w:val=""/>
        <w:guid w:val="{880393B6-D59F-4493-833F-5D16A7544610}"/>
      </w:docPartPr>
      <w:docPartBody>
        <w:p w14:paraId="58543108">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706F"/>
    <w:rsid w:val="0011317D"/>
    <w:rsid w:val="00196C21"/>
    <w:rsid w:val="003149EC"/>
    <w:rsid w:val="0052734C"/>
    <w:rsid w:val="006446FD"/>
    <w:rsid w:val="007243D8"/>
    <w:rsid w:val="0083523A"/>
    <w:rsid w:val="00855F35"/>
    <w:rsid w:val="00874392"/>
    <w:rsid w:val="00A12339"/>
    <w:rsid w:val="00AB7E3E"/>
    <w:rsid w:val="00BA6BF8"/>
    <w:rsid w:val="00BC706F"/>
    <w:rsid w:val="00BF7D60"/>
    <w:rsid w:val="00CC44F5"/>
    <w:rsid w:val="00CD493D"/>
    <w:rsid w:val="00EB107F"/>
    <w:rsid w:val="00F72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9C7A3C8934FF4614B8FDE9C0B0D4B899"/>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7F48E6C3783E4E82AD98FDCE7C5A1BC7"/>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5F15F151005453EB6B19FEBD0B08BE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433727-5962-455F-9217-EC4CBF84C322}">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8</Pages>
  <Words>3106</Words>
  <Characters>3699</Characters>
  <Lines>37</Lines>
  <Paragraphs>10</Paragraphs>
  <TotalTime>52</TotalTime>
  <ScaleCrop>false</ScaleCrop>
  <LinksUpToDate>false</LinksUpToDate>
  <CharactersWithSpaces>3973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2023-03-23T11:06:00Z</dcterms:created>
  <dc:creator>xb21cn</dc:creator>
  <dc:description>&lt;config cover="true" show_menu="true" version="1.0.0" doctype="SDKXY"&gt;_x000d_
&lt;/config&gt;</dc:description>
  <cp:lastModifiedBy>江静练</cp:lastModifiedBy>
  <cp:lastPrinted>2021-02-02T08:22:00Z</cp:lastPrinted>
  <dcterms:modified xsi:type="dcterms:W3CDTF">2024-10-11T09:34:55Z</dcterms:modified>
  <dc:title>团体标准</dc:title>
  <cp:revision>350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0F5947D7F11845A5842B83B8B2135A8F_13</vt:lpwstr>
  </property>
</Properties>
</file>